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80CC" w14:textId="135002AF" w:rsidR="008A48B6" w:rsidRDefault="008A48B6" w:rsidP="008A48B6">
      <w:pPr>
        <w:jc w:val="center"/>
        <w:rPr>
          <w:b/>
          <w:bCs/>
          <w:caps/>
          <w:sz w:val="28"/>
          <w:szCs w:val="28"/>
        </w:rPr>
      </w:pPr>
      <w:r w:rsidRPr="008A48B6">
        <w:rPr>
          <w:b/>
          <w:bCs/>
          <w:caps/>
          <w:sz w:val="28"/>
          <w:szCs w:val="28"/>
        </w:rPr>
        <w:t>Formulář žádosti o účast</w:t>
      </w:r>
    </w:p>
    <w:p w14:paraId="18D145BB" w14:textId="77777777" w:rsidR="008A48B6" w:rsidRPr="008A48B6" w:rsidRDefault="008A48B6" w:rsidP="008A48B6">
      <w:pPr>
        <w:jc w:val="center"/>
        <w:rPr>
          <w:b/>
          <w:bCs/>
          <w:caps/>
          <w:sz w:val="28"/>
          <w:szCs w:val="28"/>
        </w:rPr>
      </w:pPr>
    </w:p>
    <w:p w14:paraId="36A1A6EA" w14:textId="77777777" w:rsidR="004B1E89" w:rsidRDefault="004B1E89">
      <w:pPr>
        <w:spacing w:after="0"/>
        <w:jc w:val="center"/>
        <w:rPr>
          <w:noProof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EF6" w14:paraId="0CA63C76" w14:textId="77777777" w:rsidTr="008A48B6">
        <w:tc>
          <w:tcPr>
            <w:tcW w:w="9062" w:type="dxa"/>
          </w:tcPr>
          <w:p w14:paraId="279EA82B" w14:textId="77777777" w:rsidR="00167EF6" w:rsidRDefault="00167EF6" w:rsidP="001C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Dynamický nákupní systém</w:t>
            </w:r>
          </w:p>
        </w:tc>
      </w:tr>
      <w:tr w:rsidR="00167EF6" w14:paraId="64A33616" w14:textId="77777777" w:rsidTr="008A48B6">
        <w:trPr>
          <w:trHeight w:val="408"/>
        </w:trPr>
        <w:tc>
          <w:tcPr>
            <w:tcW w:w="9062" w:type="dxa"/>
          </w:tcPr>
          <w:p w14:paraId="606A2F3E" w14:textId="714A4F93" w:rsidR="00167EF6" w:rsidRDefault="00533E0B" w:rsidP="001C1C7F">
            <w:pPr>
              <w:spacing w:before="120" w:after="120"/>
              <w:jc w:val="center"/>
              <w:rPr>
                <w:b/>
              </w:rPr>
            </w:pPr>
            <w:r w:rsidRPr="00533E0B">
              <w:rPr>
                <w:b/>
                <w:sz w:val="36"/>
              </w:rPr>
              <w:t>Dynamický nákupní systém na dodávky úklidové a hygienické drogerie a úklidových pomůcek</w:t>
            </w:r>
          </w:p>
        </w:tc>
      </w:tr>
    </w:tbl>
    <w:p w14:paraId="2690A5C1" w14:textId="77777777" w:rsidR="00167EF6" w:rsidRDefault="00167EF6" w:rsidP="00167EF6">
      <w:pPr>
        <w:spacing w:after="0"/>
        <w:jc w:val="center"/>
      </w:pPr>
    </w:p>
    <w:p w14:paraId="1633A4F9" w14:textId="74A3D627" w:rsidR="00167EF6" w:rsidRDefault="00167EF6" w:rsidP="00167EF6">
      <w:pPr>
        <w:spacing w:after="0"/>
        <w:jc w:val="center"/>
      </w:pPr>
      <w:r>
        <w:t>DNS je za</w:t>
      </w:r>
      <w:r w:rsidR="008A48B6">
        <w:t>váděn</w:t>
      </w:r>
      <w:r>
        <w:t xml:space="preserve"> dle zákona č. 134/2016 Sb., o zadávání veřejných zakázek, ve znění pozdějších předpisů (dále jen Zákon)</w:t>
      </w:r>
    </w:p>
    <w:p w14:paraId="564C9F5A" w14:textId="77777777" w:rsidR="00167EF6" w:rsidRDefault="00167EF6" w:rsidP="00167E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167EF6" w14:paraId="10DEEF58" w14:textId="77777777" w:rsidTr="001C1C7F">
        <w:tc>
          <w:tcPr>
            <w:tcW w:w="4606" w:type="dxa"/>
          </w:tcPr>
          <w:p w14:paraId="548A10B1" w14:textId="77777777" w:rsidR="00167EF6" w:rsidRDefault="00167EF6" w:rsidP="001C1C7F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4FAF3DB4" w14:textId="77777777" w:rsidR="00167EF6" w:rsidRDefault="00167EF6" w:rsidP="001C1C7F">
            <w:r>
              <w:t>Užší řízení – řízení na zavedení DNS</w:t>
            </w:r>
          </w:p>
        </w:tc>
      </w:tr>
      <w:tr w:rsidR="00167EF6" w14:paraId="50F15DE0" w14:textId="77777777" w:rsidTr="001C1C7F">
        <w:tc>
          <w:tcPr>
            <w:tcW w:w="4606" w:type="dxa"/>
          </w:tcPr>
          <w:p w14:paraId="5390CB59" w14:textId="77777777" w:rsidR="00167EF6" w:rsidRDefault="00167EF6" w:rsidP="001C1C7F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606" w:type="dxa"/>
          </w:tcPr>
          <w:p w14:paraId="74D60100" w14:textId="77777777" w:rsidR="00167EF6" w:rsidRDefault="00167EF6" w:rsidP="001C1C7F">
            <w:r>
              <w:t>Nadlimitní</w:t>
            </w:r>
          </w:p>
        </w:tc>
      </w:tr>
      <w:tr w:rsidR="00167EF6" w14:paraId="5B3F7F70" w14:textId="77777777" w:rsidTr="001C1C7F">
        <w:tc>
          <w:tcPr>
            <w:tcW w:w="4606" w:type="dxa"/>
          </w:tcPr>
          <w:p w14:paraId="56AB4466" w14:textId="77777777" w:rsidR="00167EF6" w:rsidRDefault="00167EF6" w:rsidP="001C1C7F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036BD7B9" w14:textId="77777777" w:rsidR="00167EF6" w:rsidRDefault="00167EF6" w:rsidP="001C1C7F">
            <w:r>
              <w:t>Dodávky</w:t>
            </w:r>
          </w:p>
        </w:tc>
      </w:tr>
      <w:tr w:rsidR="00167EF6" w14:paraId="5EDE23B6" w14:textId="77777777" w:rsidTr="001C1C7F">
        <w:tc>
          <w:tcPr>
            <w:tcW w:w="4606" w:type="dxa"/>
          </w:tcPr>
          <w:p w14:paraId="2E08E479" w14:textId="77777777" w:rsidR="00167EF6" w:rsidRPr="00F25CE8" w:rsidRDefault="00167EF6" w:rsidP="001C1C7F">
            <w:pPr>
              <w:rPr>
                <w:b/>
              </w:rPr>
            </w:pPr>
            <w:r w:rsidRPr="00F25CE8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2631C84E" w14:textId="1E1F2574" w:rsidR="00167EF6" w:rsidRDefault="000345A5" w:rsidP="001C1C7F">
            <w:pPr>
              <w:rPr>
                <w:b/>
                <w:bCs/>
              </w:rPr>
            </w:pPr>
            <w:r w:rsidRPr="00F25CE8">
              <w:rPr>
                <w:b/>
                <w:bCs/>
              </w:rPr>
              <w:t>10</w:t>
            </w:r>
            <w:r w:rsidR="00167EF6" w:rsidRPr="00F25CE8">
              <w:rPr>
                <w:b/>
                <w:bCs/>
              </w:rPr>
              <w:t xml:space="preserve"> 000 000 Kč bez DPH</w:t>
            </w:r>
          </w:p>
        </w:tc>
      </w:tr>
      <w:tr w:rsidR="00167EF6" w14:paraId="4245E758" w14:textId="77777777" w:rsidTr="001C1C7F">
        <w:tc>
          <w:tcPr>
            <w:tcW w:w="4606" w:type="dxa"/>
          </w:tcPr>
          <w:p w14:paraId="0B0CF2FC" w14:textId="77777777" w:rsidR="00167EF6" w:rsidRDefault="00167EF6" w:rsidP="001C1C7F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0AD25650" w14:textId="77777777" w:rsidR="00167EF6" w:rsidRDefault="00F11603" w:rsidP="001C1C7F">
            <w:hyperlink r:id="rId11" w:history="1">
              <w:r w:rsidR="00167EF6" w:rsidRPr="008F6E19">
                <w:rPr>
                  <w:rStyle w:val="Hypertextovodkaz"/>
                </w:rPr>
                <w:t>https://zakazky.vse.cz/</w:t>
              </w:r>
            </w:hyperlink>
            <w:r w:rsidR="00167EF6">
              <w:t xml:space="preserve"> </w:t>
            </w:r>
          </w:p>
        </w:tc>
      </w:tr>
      <w:tr w:rsidR="00167EF6" w14:paraId="1B06A0D5" w14:textId="77777777" w:rsidTr="001C1C7F">
        <w:tc>
          <w:tcPr>
            <w:tcW w:w="4606" w:type="dxa"/>
          </w:tcPr>
          <w:p w14:paraId="0EC90239" w14:textId="77777777" w:rsidR="00167EF6" w:rsidRPr="00533E0B" w:rsidRDefault="00167EF6" w:rsidP="001C1C7F">
            <w:pPr>
              <w:rPr>
                <w:b/>
              </w:rPr>
            </w:pPr>
            <w:r w:rsidRPr="00533E0B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506703B9" w14:textId="05D7A9BC" w:rsidR="00167EF6" w:rsidRPr="00604CBA" w:rsidRDefault="00A40BB0" w:rsidP="00A40BB0">
            <w:r>
              <w:t xml:space="preserve">01. </w:t>
            </w:r>
            <w:r w:rsidR="00533E0B">
              <w:t>10. 2025</w:t>
            </w:r>
          </w:p>
        </w:tc>
      </w:tr>
    </w:tbl>
    <w:p w14:paraId="6854CFF0" w14:textId="77777777" w:rsidR="00167EF6" w:rsidRDefault="00167EF6" w:rsidP="00167EF6"/>
    <w:p w14:paraId="346164E5" w14:textId="4C5B9A44" w:rsidR="00167EF6" w:rsidRDefault="00167EF6" w:rsidP="008A48B6">
      <w:pPr>
        <w:rPr>
          <w:rFonts w:cs="Arial"/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451ED98" wp14:editId="50A9E6DA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87C1C" w14:textId="77777777" w:rsidR="00167EF6" w:rsidRDefault="00167EF6" w:rsidP="00167EF6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1E6E0CA0" w14:textId="77777777" w:rsidR="00167EF6" w:rsidRDefault="00167EF6" w:rsidP="00167EF6">
      <w:pPr>
        <w:jc w:val="center"/>
      </w:pPr>
    </w:p>
    <w:p w14:paraId="016DBEDA" w14:textId="16CE4AD0" w:rsidR="00167EF6" w:rsidRDefault="00167EF6" w:rsidP="00167EF6">
      <w:pPr>
        <w:jc w:val="center"/>
      </w:pPr>
      <w:r>
        <w:t xml:space="preserve">DNS je zaváděn v certifikovaném elektronickém nástroji E-ZAK, který je dostupný na </w:t>
      </w:r>
      <w:hyperlink r:id="rId13" w:history="1">
        <w:r w:rsidR="00241566" w:rsidRPr="008F6E19">
          <w:rPr>
            <w:rStyle w:val="Hypertextovodkaz"/>
          </w:rPr>
          <w:t>https://zakazky.vse.cz/</w:t>
        </w:r>
      </w:hyperlink>
      <w:r>
        <w:t xml:space="preserve">. </w:t>
      </w:r>
    </w:p>
    <w:p w14:paraId="1E421DEF" w14:textId="77777777" w:rsidR="00167EF6" w:rsidRDefault="00167EF6" w:rsidP="00167EF6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69831F5B" w14:textId="77777777" w:rsidR="00167EF6" w:rsidRDefault="00167EF6" w:rsidP="00167EF6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62281" w14:paraId="0FDF30D3" w14:textId="77777777" w:rsidTr="00A62281">
        <w:tc>
          <w:tcPr>
            <w:tcW w:w="8642" w:type="dxa"/>
          </w:tcPr>
          <w:p w14:paraId="6656D57A" w14:textId="77777777" w:rsidR="00A62281" w:rsidRDefault="00A62281" w:rsidP="001C1C7F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2C4886FB" w14:textId="77777777" w:rsidR="00A62281" w:rsidRPr="00E8508E" w:rsidRDefault="00A62281" w:rsidP="001C1C7F">
            <w:pPr>
              <w:pStyle w:val="Bezmezer"/>
            </w:pPr>
            <w:r w:rsidRPr="00E8508E">
              <w:rPr>
                <w:b/>
                <w:bCs/>
              </w:rPr>
              <w:t>Vysoká škola ekonomická v Praze</w:t>
            </w:r>
          </w:p>
          <w:p w14:paraId="756F26F8" w14:textId="77777777" w:rsidR="00A62281" w:rsidRPr="00E8508E" w:rsidRDefault="00A62281" w:rsidP="001C1C7F">
            <w:pPr>
              <w:pStyle w:val="Bezmezer"/>
            </w:pPr>
            <w:r w:rsidRPr="00E8508E">
              <w:t>nám. W. Churchilla 1938/4</w:t>
            </w:r>
            <w:r w:rsidRPr="00E8508E">
              <w:br/>
              <w:t>130 67 Praha 3 - Žižkov</w:t>
            </w:r>
          </w:p>
          <w:p w14:paraId="4436E57D" w14:textId="77777777" w:rsidR="00A62281" w:rsidRDefault="00A62281" w:rsidP="001C1C7F">
            <w:pPr>
              <w:pStyle w:val="Bezmezer"/>
            </w:pPr>
          </w:p>
          <w:p w14:paraId="090ECDBF" w14:textId="77777777" w:rsidR="00A62281" w:rsidRPr="00E8508E" w:rsidRDefault="00A62281" w:rsidP="001C1C7F">
            <w:pPr>
              <w:pStyle w:val="Bezmezer"/>
              <w:rPr>
                <w:u w:val="single"/>
              </w:rPr>
            </w:pPr>
            <w:r w:rsidRPr="00E8508E">
              <w:rPr>
                <w:u w:val="single"/>
              </w:rPr>
              <w:t>Pracoviště pověřené plněním:</w:t>
            </w:r>
          </w:p>
          <w:p w14:paraId="17F7C9FE" w14:textId="77777777" w:rsidR="00A62281" w:rsidRDefault="00A62281" w:rsidP="001C1C7F">
            <w:pPr>
              <w:pStyle w:val="Bezmezer"/>
              <w:rPr>
                <w:b/>
                <w:bCs/>
              </w:rPr>
            </w:pPr>
            <w:r w:rsidRPr="00CD4F3A">
              <w:rPr>
                <w:b/>
                <w:bCs/>
              </w:rPr>
              <w:t>Správa účelových zařízení</w:t>
            </w:r>
          </w:p>
          <w:p w14:paraId="180CD231" w14:textId="77777777" w:rsidR="00A62281" w:rsidRDefault="00A62281" w:rsidP="001C1C7F">
            <w:pPr>
              <w:pStyle w:val="Bezmezer"/>
              <w:rPr>
                <w:b/>
                <w:bCs/>
              </w:rPr>
            </w:pPr>
            <w:r w:rsidRPr="00E8508E">
              <w:rPr>
                <w:b/>
                <w:bCs/>
              </w:rPr>
              <w:t>Vysoké školy ekonomické</w:t>
            </w:r>
            <w:r w:rsidRPr="00CD4F3A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CD4F3A">
              <w:rPr>
                <w:b/>
                <w:bCs/>
              </w:rPr>
              <w:t>Praze</w:t>
            </w:r>
          </w:p>
          <w:p w14:paraId="3EE86F21" w14:textId="77777777" w:rsidR="00A62281" w:rsidRDefault="00A62281" w:rsidP="001C1C7F">
            <w:pPr>
              <w:pStyle w:val="Bezmezer"/>
            </w:pPr>
            <w:r>
              <w:t xml:space="preserve">se sídlem </w:t>
            </w:r>
            <w:r w:rsidRPr="00CD4F3A">
              <w:t>Jeseniova 2769/208</w:t>
            </w:r>
            <w:r w:rsidRPr="00CD4F3A">
              <w:br/>
              <w:t>130 00 Praha 3</w:t>
            </w:r>
          </w:p>
          <w:p w14:paraId="75FC09D8" w14:textId="77777777" w:rsidR="00A62281" w:rsidRDefault="00A62281" w:rsidP="001C1C7F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62281" w14:paraId="24A90C84" w14:textId="77777777" w:rsidTr="00A62281">
        <w:tc>
          <w:tcPr>
            <w:tcW w:w="8642" w:type="dxa"/>
          </w:tcPr>
          <w:p w14:paraId="0060B6AB" w14:textId="77777777" w:rsidR="00A62281" w:rsidRDefault="00A62281" w:rsidP="001C1C7F">
            <w:pPr>
              <w:pStyle w:val="Bezmezer"/>
              <w:rPr>
                <w:rFonts w:cs="Arial"/>
              </w:rPr>
            </w:pPr>
            <w:r>
              <w:rPr>
                <w:b/>
              </w:rPr>
              <w:t xml:space="preserve">IČO: </w:t>
            </w:r>
            <w:r w:rsidRPr="00CD4F3A">
              <w:rPr>
                <w:b/>
              </w:rPr>
              <w:t>613</w:t>
            </w:r>
            <w:r>
              <w:rPr>
                <w:b/>
              </w:rPr>
              <w:t xml:space="preserve"> </w:t>
            </w:r>
            <w:r w:rsidRPr="00CD4F3A">
              <w:rPr>
                <w:b/>
              </w:rPr>
              <w:t>84</w:t>
            </w:r>
            <w:r>
              <w:rPr>
                <w:b/>
              </w:rPr>
              <w:t xml:space="preserve"> </w:t>
            </w:r>
            <w:r w:rsidRPr="00CD4F3A">
              <w:rPr>
                <w:b/>
              </w:rPr>
              <w:t>399</w:t>
            </w:r>
          </w:p>
        </w:tc>
      </w:tr>
    </w:tbl>
    <w:p w14:paraId="36A1A722" w14:textId="77777777" w:rsidR="004B1E89" w:rsidRDefault="007E1B59">
      <w:pPr>
        <w:rPr>
          <w:rFonts w:eastAsiaTheme="majorEastAsia" w:cstheme="majorBidi"/>
          <w:sz w:val="28"/>
          <w:szCs w:val="28"/>
        </w:rPr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E89" w14:paraId="36A1A724" w14:textId="77777777">
        <w:tc>
          <w:tcPr>
            <w:tcW w:w="9062" w:type="dxa"/>
          </w:tcPr>
          <w:p w14:paraId="36A1A723" w14:textId="77777777" w:rsidR="004B1E89" w:rsidRDefault="007E1B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Veřejná zakázka</w:t>
            </w:r>
          </w:p>
        </w:tc>
      </w:tr>
      <w:tr w:rsidR="004B1E89" w14:paraId="36A1A726" w14:textId="77777777" w:rsidTr="00650E27">
        <w:trPr>
          <w:trHeight w:val="408"/>
        </w:trPr>
        <w:tc>
          <w:tcPr>
            <w:tcW w:w="9062" w:type="dxa"/>
            <w:shd w:val="clear" w:color="auto" w:fill="auto"/>
          </w:tcPr>
          <w:p w14:paraId="36A1A725" w14:textId="0FF41CFA" w:rsidR="004B1E89" w:rsidRDefault="00A62281">
            <w:pPr>
              <w:jc w:val="center"/>
              <w:rPr>
                <w:b/>
              </w:rPr>
            </w:pPr>
            <w:r w:rsidRPr="00533E0B">
              <w:rPr>
                <w:b/>
                <w:sz w:val="36"/>
              </w:rPr>
              <w:t>Dynamický nákupní systém na dodávky úklidové a hygienické drogerie a úklidových pomůcek</w:t>
            </w:r>
          </w:p>
        </w:tc>
      </w:tr>
    </w:tbl>
    <w:p w14:paraId="36A1A727" w14:textId="77777777" w:rsidR="004B1E89" w:rsidRDefault="004B1E89"/>
    <w:p w14:paraId="36A1A728" w14:textId="77777777" w:rsidR="004B1E89" w:rsidRDefault="007E1B5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SOUHRNNé ČESTNÉ PROHLÁŠENÍ KE SPLNĚNÍ KVALIFIKAČNÍCH PŘEDPOKLADŮ a k podání žádosti o účast</w:t>
      </w:r>
    </w:p>
    <w:p w14:paraId="36A1A729" w14:textId="77777777" w:rsidR="004B1E89" w:rsidRDefault="004B1E8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B1E89" w14:paraId="36A1A72B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1A72A" w14:textId="77777777" w:rsidR="004B1E89" w:rsidRDefault="007E1B59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Dodavatel:</w:t>
            </w:r>
          </w:p>
        </w:tc>
      </w:tr>
      <w:tr w:rsidR="004B1E89" w14:paraId="36A1A72E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C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2D" w14:textId="50CC925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F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0" w14:textId="53178F37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4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3" w14:textId="49DE08DF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7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6" w14:textId="66072F52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A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9" w14:textId="3CAF549A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3B" w14:textId="77777777" w:rsidR="004B1E89" w:rsidRDefault="004B1E89">
      <w:pPr>
        <w:spacing w:line="276" w:lineRule="auto"/>
        <w:jc w:val="both"/>
        <w:rPr>
          <w:rFonts w:cs="Arial"/>
        </w:rPr>
      </w:pPr>
    </w:p>
    <w:p w14:paraId="36A1A73C" w14:textId="328C2DAF" w:rsidR="004B1E89" w:rsidRDefault="007E1B59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který samostatně/společně s jinou osobou/společně s jinými osobami</w:t>
      </w:r>
      <w:r>
        <w:rPr>
          <w:rStyle w:val="Znakapoznpodarou"/>
          <w:rFonts w:ascii="Verdana" w:hAnsi="Verdana" w:cs="Arial"/>
          <w:sz w:val="22"/>
          <w:szCs w:val="22"/>
        </w:rPr>
        <w:footnoteReference w:id="1"/>
      </w:r>
      <w:r>
        <w:rPr>
          <w:rFonts w:ascii="Verdana" w:hAnsi="Verdana" w:cs="Arial"/>
          <w:sz w:val="22"/>
          <w:szCs w:val="22"/>
        </w:rPr>
        <w:t xml:space="preserve">)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žádost o účast a usiluje o zařazení do výše uvedeného DNS</w:t>
      </w:r>
      <w:r w:rsidR="00650E27">
        <w:rPr>
          <w:rFonts w:ascii="Verdana" w:hAnsi="Verdana" w:cs="Arial"/>
          <w:sz w:val="22"/>
          <w:szCs w:val="22"/>
        </w:rPr>
        <w:t>.</w:t>
      </w:r>
    </w:p>
    <w:p w14:paraId="36A1A73E" w14:textId="77777777" w:rsidR="004B1E89" w:rsidRDefault="007E1B5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6A1A740" w14:textId="77777777" w:rsidR="004B1E89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se před předložením Dokladů o kvalifikaci podrobně </w:t>
      </w:r>
      <w:r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36A1A741" w14:textId="77777777" w:rsidR="004B1E89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>
        <w:rPr>
          <w:rFonts w:cs="Verdana"/>
        </w:rPr>
        <w:t>není nezpůsobilým dodavatelem ve smyslu § 74 Zákona, tedy:</w:t>
      </w:r>
    </w:p>
    <w:p w14:paraId="6F98FF43" w14:textId="6970C510" w:rsidR="00BE5A56" w:rsidRDefault="007E1B59" w:rsidP="00650E2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nebyl v zemi svého sídla v posledních 5 letech před zahájením zadávacího řízení pravomocně odsouzen pro</w:t>
      </w:r>
      <w:r w:rsidR="00650E27">
        <w:t>:</w:t>
      </w:r>
    </w:p>
    <w:p w14:paraId="36A1A743" w14:textId="77777777" w:rsidR="004B1E89" w:rsidRDefault="007E1B59" w:rsidP="00BE5A56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</w:pPr>
      <w:r>
        <w:t>trestný čin spáchaný ve prospěch organizované zločinecké skupiny nebo trestný čin účasti na organizované zločinecké skupině,</w:t>
      </w:r>
    </w:p>
    <w:p w14:paraId="36A1A744" w14:textId="77777777" w:rsidR="004B1E89" w:rsidRDefault="007E1B59" w:rsidP="00BE5A56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</w:pPr>
      <w:r>
        <w:t>trestný čin obchodování s lidmi,</w:t>
      </w:r>
    </w:p>
    <w:p w14:paraId="36A1A745" w14:textId="77777777" w:rsidR="004B1E89" w:rsidRDefault="007E1B59" w:rsidP="00BE5A56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</w:pPr>
      <w:r>
        <w:t>tyto trestné činy proti majetku</w:t>
      </w:r>
    </w:p>
    <w:p w14:paraId="36A1A746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podvod,</w:t>
      </w:r>
    </w:p>
    <w:p w14:paraId="36A1A747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pojistný podvod,</w:t>
      </w:r>
    </w:p>
    <w:p w14:paraId="36A1A748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úvěrový podvod,</w:t>
      </w:r>
    </w:p>
    <w:p w14:paraId="36A1A749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dotační podvod,</w:t>
      </w:r>
    </w:p>
    <w:p w14:paraId="36A1A74A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legalizace výnosů z trestné činnosti,</w:t>
      </w:r>
    </w:p>
    <w:p w14:paraId="36A1A74B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legalizace výnosů z trestné činnosti z nedbalosti,</w:t>
      </w:r>
    </w:p>
    <w:p w14:paraId="36A1A74C" w14:textId="77777777" w:rsidR="004B1E89" w:rsidRDefault="007E1B59" w:rsidP="00BE5A56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</w:pPr>
      <w:r>
        <w:t>tyto trestné činy hospodářské</w:t>
      </w:r>
    </w:p>
    <w:p w14:paraId="36A1A74D" w14:textId="77777777" w:rsidR="004B1E89" w:rsidRDefault="007E1B59" w:rsidP="00650E27">
      <w:pPr>
        <w:pStyle w:val="Odstavecseseznamem"/>
        <w:widowControl w:val="0"/>
        <w:numPr>
          <w:ilvl w:val="1"/>
          <w:numId w:val="34"/>
        </w:numPr>
        <w:autoSpaceDE w:val="0"/>
        <w:autoSpaceDN w:val="0"/>
        <w:adjustRightInd w:val="0"/>
        <w:spacing w:after="0"/>
        <w:jc w:val="both"/>
      </w:pPr>
      <w:r>
        <w:t>zneužití informace v obchodním styku,</w:t>
      </w:r>
    </w:p>
    <w:p w14:paraId="36A1A74E" w14:textId="77777777" w:rsidR="004B1E89" w:rsidRDefault="007E1B59" w:rsidP="00650E27">
      <w:pPr>
        <w:pStyle w:val="Odstavecseseznamem"/>
        <w:widowControl w:val="0"/>
        <w:numPr>
          <w:ilvl w:val="1"/>
          <w:numId w:val="34"/>
        </w:numPr>
        <w:autoSpaceDE w:val="0"/>
        <w:autoSpaceDN w:val="0"/>
        <w:adjustRightInd w:val="0"/>
        <w:spacing w:after="0"/>
        <w:jc w:val="both"/>
      </w:pPr>
      <w:r>
        <w:t>zjednání výhody při zadání veřejné zakázky, při veřejné soutěži a veřejné dražbě,</w:t>
      </w:r>
    </w:p>
    <w:p w14:paraId="36A1A74F" w14:textId="77777777" w:rsidR="004B1E89" w:rsidRDefault="007E1B59" w:rsidP="00650E27">
      <w:pPr>
        <w:pStyle w:val="Odstavecseseznamem"/>
        <w:widowControl w:val="0"/>
        <w:numPr>
          <w:ilvl w:val="1"/>
          <w:numId w:val="34"/>
        </w:numPr>
        <w:autoSpaceDE w:val="0"/>
        <w:autoSpaceDN w:val="0"/>
        <w:adjustRightInd w:val="0"/>
        <w:spacing w:after="0"/>
        <w:jc w:val="both"/>
      </w:pPr>
      <w:r>
        <w:lastRenderedPageBreak/>
        <w:t>pletichy při zadání veřejné zakázky a při veřejné soutěži,</w:t>
      </w:r>
    </w:p>
    <w:p w14:paraId="36A1A750" w14:textId="77777777" w:rsidR="004B1E89" w:rsidRDefault="007E1B59" w:rsidP="00650E27">
      <w:pPr>
        <w:pStyle w:val="Odstavecseseznamem"/>
        <w:widowControl w:val="0"/>
        <w:numPr>
          <w:ilvl w:val="1"/>
          <w:numId w:val="34"/>
        </w:numPr>
        <w:autoSpaceDE w:val="0"/>
        <w:autoSpaceDN w:val="0"/>
        <w:adjustRightInd w:val="0"/>
        <w:spacing w:after="0"/>
        <w:jc w:val="both"/>
      </w:pPr>
      <w:r>
        <w:t>pletichy při veřejné dražbě,</w:t>
      </w:r>
    </w:p>
    <w:p w14:paraId="36A1A751" w14:textId="38B595F3" w:rsidR="004B1E89" w:rsidRDefault="007E1B59" w:rsidP="00650E27">
      <w:pPr>
        <w:pStyle w:val="Odstavecseseznamem"/>
        <w:widowControl w:val="0"/>
        <w:numPr>
          <w:ilvl w:val="1"/>
          <w:numId w:val="34"/>
        </w:numPr>
        <w:autoSpaceDE w:val="0"/>
        <w:autoSpaceDN w:val="0"/>
        <w:adjustRightInd w:val="0"/>
        <w:spacing w:after="0"/>
        <w:jc w:val="both"/>
      </w:pPr>
      <w:r>
        <w:t>poškození finančních zájmů Evropské unie</w:t>
      </w:r>
      <w:r w:rsidR="00650E27">
        <w:t>,</w:t>
      </w:r>
    </w:p>
    <w:p w14:paraId="36A1A752" w14:textId="77777777" w:rsidR="004B1E89" w:rsidRDefault="007E1B59" w:rsidP="00BE5A56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</w:pPr>
      <w:r>
        <w:t>trestné činy proti České republice, cizímu státu a mezinárodní organizaci,</w:t>
      </w:r>
    </w:p>
    <w:p w14:paraId="36A1A753" w14:textId="77777777" w:rsidR="004B1E89" w:rsidRDefault="007E1B59" w:rsidP="00BE5A56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</w:pPr>
      <w:r>
        <w:t>tyto trestné činy proti pořádku ve věcech veřejných</w:t>
      </w:r>
    </w:p>
    <w:p w14:paraId="36A1A754" w14:textId="77777777" w:rsidR="004B1E89" w:rsidRDefault="007E1B5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</w:pPr>
      <w:r>
        <w:t>trestné činy proti výkonu pravomoci orgánu veřejné moci a úřední osoby,</w:t>
      </w:r>
    </w:p>
    <w:p w14:paraId="36A1A755" w14:textId="77777777" w:rsidR="004B1E89" w:rsidRDefault="007E1B5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</w:pPr>
      <w:r>
        <w:t>trestné činy úředních osob,</w:t>
      </w:r>
    </w:p>
    <w:p w14:paraId="36A1A756" w14:textId="77777777" w:rsidR="004B1E89" w:rsidRDefault="007E1B5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</w:pPr>
      <w:r>
        <w:t>úplatkářství,</w:t>
      </w:r>
    </w:p>
    <w:p w14:paraId="36A1A757" w14:textId="0D57196D" w:rsidR="004B1E89" w:rsidRDefault="007E1B5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</w:pPr>
      <w:r>
        <w:t>jiná rušení činnosti orgánu veřejné moci</w:t>
      </w:r>
      <w:r w:rsidR="00650E27">
        <w:t>,</w:t>
      </w:r>
    </w:p>
    <w:p w14:paraId="36A1A758" w14:textId="77777777" w:rsidR="004B1E89" w:rsidRDefault="007E1B59" w:rsidP="00BE5A56">
      <w:pPr>
        <w:pStyle w:val="Odstavecseseznamem"/>
        <w:widowControl w:val="0"/>
        <w:autoSpaceDE w:val="0"/>
        <w:autoSpaceDN w:val="0"/>
        <w:adjustRightInd w:val="0"/>
        <w:spacing w:after="0"/>
        <w:ind w:left="1418"/>
        <w:jc w:val="both"/>
      </w:pPr>
      <w:r>
        <w:t>nebo obdobný trestný čin podle právního řádu země sídla dodavatele ve smyslu § 74 odst. 1 písm. a) Zákona; k zahlazeným odsouzením se nepřihlíží,</w:t>
      </w:r>
    </w:p>
    <w:p w14:paraId="36A1A759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nemá v České republice nebo v zemi svého sídla v evidenci daní zachycen splatný daňový nedoplatek ve vztahu ke spotřební dani ve smyslu § 74 odst. 1 písm. b) Zákona,</w:t>
      </w:r>
    </w:p>
    <w:p w14:paraId="36A1A75A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nemá v České republice nebo v zemi svého sídla splatný nedoplatek na pojistném nebo na penále na veřejné zdravotní pojištění ve smyslu § 74 odst. 1 písm. c) Zákona,</w:t>
      </w:r>
    </w:p>
    <w:p w14:paraId="36A1A75B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36A1A75C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36A1A75E" w14:textId="77777777" w:rsidR="004B1E89" w:rsidRPr="00BE5A56" w:rsidRDefault="007E1B5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szCs w:val="20"/>
        </w:rPr>
      </w:pPr>
      <w:r w:rsidRPr="00BE5A56">
        <w:rPr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36A1A75F" w14:textId="77777777" w:rsidR="004B1E89" w:rsidRPr="00BE5A56" w:rsidRDefault="007E1B5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Cs w:val="20"/>
        </w:rPr>
      </w:pPr>
      <w:r w:rsidRPr="00BE5A56">
        <w:rPr>
          <w:szCs w:val="20"/>
        </w:rPr>
        <w:t>tato právnická osoba,</w:t>
      </w:r>
    </w:p>
    <w:p w14:paraId="36A1A760" w14:textId="77777777" w:rsidR="004B1E89" w:rsidRPr="00BE5A56" w:rsidRDefault="007E1B5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Cs w:val="20"/>
        </w:rPr>
      </w:pPr>
      <w:r w:rsidRPr="00BE5A56">
        <w:rPr>
          <w:szCs w:val="20"/>
        </w:rPr>
        <w:t>každý člen statutárního orgánu této právnické osoby a</w:t>
      </w:r>
    </w:p>
    <w:p w14:paraId="36A1A761" w14:textId="77777777" w:rsidR="004B1E89" w:rsidRPr="00BE5A56" w:rsidRDefault="007E1B5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Cs w:val="20"/>
        </w:rPr>
      </w:pPr>
      <w:r w:rsidRPr="00BE5A56">
        <w:rPr>
          <w:szCs w:val="20"/>
        </w:rPr>
        <w:t>osoba zastupující tuto právnickou osobu v statutárním orgánu dodavatele.</w:t>
      </w:r>
    </w:p>
    <w:p w14:paraId="36A1A763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splňuje </w:t>
      </w:r>
      <w:r w:rsidRPr="00BE5A56">
        <w:rPr>
          <w:rFonts w:cs="Verdana"/>
          <w:b/>
        </w:rPr>
        <w:t>profesní způsobilost</w:t>
      </w:r>
      <w:r w:rsidRPr="00BE5A56">
        <w:rPr>
          <w:rFonts w:cs="Verdana"/>
        </w:rPr>
        <w:t>, kterou zadavatel požadoval v zadávací dokumentaci,</w:t>
      </w:r>
    </w:p>
    <w:p w14:paraId="36A1A765" w14:textId="1F8BC071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předkládá následující </w:t>
      </w:r>
      <w:r w:rsidRPr="00BE5A56">
        <w:rPr>
          <w:rFonts w:cs="Verdana"/>
          <w:b/>
        </w:rPr>
        <w:t xml:space="preserve">seznam významných </w:t>
      </w:r>
      <w:r w:rsidR="00167EF6" w:rsidRPr="00BE5A56">
        <w:rPr>
          <w:rFonts w:cs="Verdana"/>
          <w:b/>
        </w:rPr>
        <w:t>dodávek</w:t>
      </w:r>
      <w:r w:rsidRPr="00BE5A56">
        <w:rPr>
          <w:rFonts w:cs="Verdana"/>
        </w:rPr>
        <w:t>:</w:t>
      </w:r>
    </w:p>
    <w:p w14:paraId="36A1A766" w14:textId="77777777" w:rsidR="004B1E89" w:rsidRDefault="004B1E89">
      <w:pPr>
        <w:widowControl w:val="0"/>
        <w:spacing w:after="0"/>
        <w:ind w:left="284"/>
        <w:jc w:val="both"/>
        <w:rPr>
          <w:rFonts w:cs="Arial"/>
          <w:b/>
        </w:rPr>
      </w:pPr>
    </w:p>
    <w:tbl>
      <w:tblPr>
        <w:tblpPr w:leftFromText="141" w:rightFromText="141" w:vertAnchor="text" w:horzAnchor="margin" w:tblpX="9" w:tblpY="19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4"/>
        <w:gridCol w:w="1588"/>
        <w:gridCol w:w="2268"/>
        <w:gridCol w:w="1418"/>
        <w:gridCol w:w="1559"/>
      </w:tblGrid>
      <w:tr w:rsidR="004B1E89" w14:paraId="36A1A76D" w14:textId="77777777" w:rsidTr="00650E27">
        <w:trPr>
          <w:cantSplit/>
          <w:trHeight w:val="416"/>
          <w:tblHeader/>
        </w:trPr>
        <w:tc>
          <w:tcPr>
            <w:tcW w:w="704" w:type="dxa"/>
          </w:tcPr>
          <w:p w14:paraId="4E16538B" w14:textId="77777777" w:rsidR="00650E27" w:rsidRDefault="007E1B59" w:rsidP="00167EF6">
            <w:pPr>
              <w:suppressAutoHyphens/>
              <w:spacing w:after="0" w:line="360" w:lineRule="auto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Poř</w:t>
            </w:r>
            <w:proofErr w:type="spellEnd"/>
            <w:r>
              <w:rPr>
                <w:rFonts w:cs="Verdana"/>
              </w:rPr>
              <w:t>.</w:t>
            </w:r>
          </w:p>
          <w:p w14:paraId="36A1A767" w14:textId="7AB00755" w:rsidR="004B1E89" w:rsidRDefault="007E1B59" w:rsidP="00167EF6">
            <w:pPr>
              <w:suppressAutoHyphens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č</w:t>
            </w:r>
            <w:r w:rsidR="00650E27">
              <w:rPr>
                <w:rFonts w:cs="Verdana"/>
              </w:rPr>
              <w:t>.</w:t>
            </w:r>
          </w:p>
        </w:tc>
        <w:tc>
          <w:tcPr>
            <w:tcW w:w="1814" w:type="dxa"/>
          </w:tcPr>
          <w:p w14:paraId="36A1A768" w14:textId="77777777" w:rsidR="004B1E89" w:rsidRDefault="007E1B59" w:rsidP="00167EF6">
            <w:pPr>
              <w:suppressAutoHyphens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 vč. kontaktu</w:t>
            </w:r>
          </w:p>
        </w:tc>
        <w:tc>
          <w:tcPr>
            <w:tcW w:w="1588" w:type="dxa"/>
          </w:tcPr>
          <w:p w14:paraId="36A1A769" w14:textId="01D48AB8" w:rsidR="004B1E89" w:rsidRDefault="00167EF6" w:rsidP="00167EF6">
            <w:pPr>
              <w:suppressAutoHyphens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 xml:space="preserve">Místo plnění </w:t>
            </w:r>
          </w:p>
        </w:tc>
        <w:tc>
          <w:tcPr>
            <w:tcW w:w="2268" w:type="dxa"/>
          </w:tcPr>
          <w:p w14:paraId="36A1A76A" w14:textId="159F6A0E" w:rsidR="004B1E89" w:rsidRDefault="007E1B59" w:rsidP="00167EF6">
            <w:pPr>
              <w:suppressAutoHyphens/>
              <w:spacing w:after="0" w:line="360" w:lineRule="auto"/>
              <w:ind w:firstLine="34"/>
              <w:jc w:val="center"/>
              <w:rPr>
                <w:rFonts w:cs="Verdana"/>
              </w:rPr>
            </w:pPr>
            <w:r>
              <w:rPr>
                <w:rFonts w:cs="Verdana"/>
              </w:rPr>
              <w:t xml:space="preserve">Stručný popis </w:t>
            </w:r>
            <w:r w:rsidR="00167EF6">
              <w:rPr>
                <w:rFonts w:cs="Verdana"/>
              </w:rPr>
              <w:t>předmětu zakázky</w:t>
            </w:r>
          </w:p>
        </w:tc>
        <w:tc>
          <w:tcPr>
            <w:tcW w:w="1418" w:type="dxa"/>
          </w:tcPr>
          <w:p w14:paraId="5B6AA445" w14:textId="77777777" w:rsidR="00167EF6" w:rsidRDefault="007E1B59" w:rsidP="00167EF6">
            <w:pPr>
              <w:suppressAutoHyphens/>
              <w:spacing w:after="0" w:line="360" w:lineRule="auto"/>
              <w:rPr>
                <w:rFonts w:cs="Verdana"/>
              </w:rPr>
            </w:pPr>
            <w:r>
              <w:rPr>
                <w:rFonts w:cs="Verdana"/>
              </w:rPr>
              <w:t xml:space="preserve">Cena </w:t>
            </w:r>
          </w:p>
          <w:p w14:paraId="36A1A76B" w14:textId="44A72607" w:rsidR="004B1E89" w:rsidRDefault="007E1B59" w:rsidP="00167EF6">
            <w:pPr>
              <w:suppressAutoHyphens/>
              <w:spacing w:after="0" w:line="360" w:lineRule="auto"/>
              <w:rPr>
                <w:rFonts w:cs="Verdana"/>
              </w:rPr>
            </w:pPr>
            <w:r>
              <w:rPr>
                <w:rFonts w:cs="Verdana"/>
              </w:rPr>
              <w:t>v Kč bez DPH</w:t>
            </w:r>
          </w:p>
        </w:tc>
        <w:tc>
          <w:tcPr>
            <w:tcW w:w="1559" w:type="dxa"/>
          </w:tcPr>
          <w:p w14:paraId="36A1A76C" w14:textId="5A1D48DA" w:rsidR="004B1E89" w:rsidRDefault="007E1B59" w:rsidP="00167EF6">
            <w:pPr>
              <w:suppressAutoHyphens/>
              <w:spacing w:after="0" w:line="360" w:lineRule="auto"/>
              <w:rPr>
                <w:rFonts w:cs="Verdana"/>
              </w:rPr>
            </w:pPr>
            <w:r>
              <w:rPr>
                <w:rFonts w:cs="Verdana"/>
              </w:rPr>
              <w:t>Termín realizace</w:t>
            </w:r>
            <w:r>
              <w:rPr>
                <w:rFonts w:cs="Verdana"/>
              </w:rPr>
              <w:br/>
            </w:r>
            <w:r w:rsidR="00650E27">
              <w:rPr>
                <w:rFonts w:cs="Verdana"/>
              </w:rPr>
              <w:t>od – do</w:t>
            </w:r>
            <w:r>
              <w:rPr>
                <w:rStyle w:val="Znakapoznpodarou"/>
                <w:rFonts w:cs="Verdana"/>
              </w:rPr>
              <w:footnoteReference w:id="2"/>
            </w:r>
          </w:p>
        </w:tc>
      </w:tr>
      <w:tr w:rsidR="004B1E89" w14:paraId="36A1A774" w14:textId="77777777" w:rsidTr="00650E27">
        <w:trPr>
          <w:trHeight w:val="397"/>
        </w:trPr>
        <w:tc>
          <w:tcPr>
            <w:tcW w:w="704" w:type="dxa"/>
          </w:tcPr>
          <w:p w14:paraId="36A1A76E" w14:textId="77777777" w:rsidR="004B1E89" w:rsidRDefault="007E1B5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814" w:type="dxa"/>
          </w:tcPr>
          <w:p w14:paraId="36A1A76F" w14:textId="2D4D5C6E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88" w:type="dxa"/>
          </w:tcPr>
          <w:p w14:paraId="36A1A770" w14:textId="0BDFC28E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2268" w:type="dxa"/>
          </w:tcPr>
          <w:p w14:paraId="36A1A771" w14:textId="223765DA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418" w:type="dxa"/>
          </w:tcPr>
          <w:p w14:paraId="36A1A772" w14:textId="424B32BD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59" w:type="dxa"/>
          </w:tcPr>
          <w:p w14:paraId="36A1A773" w14:textId="59E64EA1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7B" w14:textId="77777777" w:rsidTr="00650E27">
        <w:trPr>
          <w:trHeight w:val="397"/>
        </w:trPr>
        <w:tc>
          <w:tcPr>
            <w:tcW w:w="704" w:type="dxa"/>
          </w:tcPr>
          <w:p w14:paraId="36A1A775" w14:textId="77777777" w:rsidR="004B1E89" w:rsidRDefault="007E1B5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814" w:type="dxa"/>
          </w:tcPr>
          <w:p w14:paraId="36A1A776" w14:textId="73636BC0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88" w:type="dxa"/>
          </w:tcPr>
          <w:p w14:paraId="36A1A777" w14:textId="482988DB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2268" w:type="dxa"/>
          </w:tcPr>
          <w:p w14:paraId="36A1A778" w14:textId="7C7406CE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418" w:type="dxa"/>
          </w:tcPr>
          <w:p w14:paraId="36A1A779" w14:textId="0A361775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59" w:type="dxa"/>
          </w:tcPr>
          <w:p w14:paraId="36A1A77A" w14:textId="582E987A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82" w14:textId="77777777" w:rsidTr="00650E27">
        <w:trPr>
          <w:trHeight w:val="397"/>
        </w:trPr>
        <w:tc>
          <w:tcPr>
            <w:tcW w:w="704" w:type="dxa"/>
          </w:tcPr>
          <w:p w14:paraId="36A1A77C" w14:textId="77777777" w:rsidR="004B1E89" w:rsidRDefault="007E1B5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3</w:t>
            </w:r>
          </w:p>
        </w:tc>
        <w:tc>
          <w:tcPr>
            <w:tcW w:w="1814" w:type="dxa"/>
          </w:tcPr>
          <w:p w14:paraId="36A1A77D" w14:textId="0E9C6A46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88" w:type="dxa"/>
          </w:tcPr>
          <w:p w14:paraId="36A1A77E" w14:textId="21A5ACC3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2268" w:type="dxa"/>
          </w:tcPr>
          <w:p w14:paraId="36A1A77F" w14:textId="6BE18A8E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418" w:type="dxa"/>
          </w:tcPr>
          <w:p w14:paraId="36A1A780" w14:textId="468D61FF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59" w:type="dxa"/>
          </w:tcPr>
          <w:p w14:paraId="36A1A781" w14:textId="38F54995" w:rsidR="004B1E89" w:rsidRPr="00650E27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  <w:sz w:val="20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89" w14:textId="77777777" w:rsidTr="00650E27">
        <w:trPr>
          <w:trHeight w:val="397"/>
        </w:trPr>
        <w:tc>
          <w:tcPr>
            <w:tcW w:w="704" w:type="dxa"/>
          </w:tcPr>
          <w:p w14:paraId="36A1A783" w14:textId="351499B8" w:rsidR="004B1E89" w:rsidRDefault="00FA2825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4</w:t>
            </w:r>
          </w:p>
        </w:tc>
        <w:tc>
          <w:tcPr>
            <w:tcW w:w="1814" w:type="dxa"/>
          </w:tcPr>
          <w:p w14:paraId="36A1A784" w14:textId="7F8CC46F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88" w:type="dxa"/>
          </w:tcPr>
          <w:p w14:paraId="36A1A785" w14:textId="5658E61C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2268" w:type="dxa"/>
          </w:tcPr>
          <w:p w14:paraId="36A1A786" w14:textId="2B80AFE4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418" w:type="dxa"/>
          </w:tcPr>
          <w:p w14:paraId="36A1A787" w14:textId="02E89101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59" w:type="dxa"/>
          </w:tcPr>
          <w:p w14:paraId="36A1A788" w14:textId="2F0F784E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90" w14:textId="77777777" w:rsidTr="00650E27">
        <w:trPr>
          <w:trHeight w:val="397"/>
        </w:trPr>
        <w:tc>
          <w:tcPr>
            <w:tcW w:w="704" w:type="dxa"/>
          </w:tcPr>
          <w:p w14:paraId="36A1A78A" w14:textId="7259F158" w:rsidR="004B1E89" w:rsidRDefault="00FA2825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5</w:t>
            </w:r>
          </w:p>
        </w:tc>
        <w:tc>
          <w:tcPr>
            <w:tcW w:w="1814" w:type="dxa"/>
          </w:tcPr>
          <w:p w14:paraId="36A1A78B" w14:textId="7F8710DE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88" w:type="dxa"/>
          </w:tcPr>
          <w:p w14:paraId="36A1A78C" w14:textId="7B9EFEE5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2268" w:type="dxa"/>
          </w:tcPr>
          <w:p w14:paraId="36A1A78D" w14:textId="1DA586E9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418" w:type="dxa"/>
          </w:tcPr>
          <w:p w14:paraId="36A1A78E" w14:textId="72356BE3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  <w:tc>
          <w:tcPr>
            <w:tcW w:w="1559" w:type="dxa"/>
          </w:tcPr>
          <w:p w14:paraId="36A1A78F" w14:textId="0678DC1A" w:rsidR="004B1E89" w:rsidRDefault="00FA2825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91" w14:textId="77777777" w:rsidR="004B1E89" w:rsidRDefault="004B1E89">
      <w:pPr>
        <w:widowControl w:val="0"/>
        <w:spacing w:after="0"/>
        <w:ind w:left="284"/>
        <w:jc w:val="both"/>
        <w:rPr>
          <w:rFonts w:cs="Arial"/>
          <w:b/>
        </w:rPr>
      </w:pPr>
    </w:p>
    <w:p w14:paraId="25769FD3" w14:textId="76E05DB9" w:rsidR="00783F17" w:rsidRPr="00BE5A56" w:rsidRDefault="00BB772E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20491F">
        <w:fldChar w:fldCharType="begin">
          <w:ffData>
            <w:name w:val="Text1"/>
            <w:enabled/>
            <w:calcOnExit w:val="0"/>
            <w:textInput/>
          </w:ffData>
        </w:fldChar>
      </w:r>
      <w:r w:rsidRPr="0020491F">
        <w:instrText xml:space="preserve"> FORMTEXT </w:instrText>
      </w:r>
      <w:r w:rsidRPr="0020491F">
        <w:fldChar w:fldCharType="separate"/>
      </w:r>
      <w:r w:rsidRPr="0020491F">
        <w:rPr>
          <w:noProof/>
        </w:rPr>
        <w:t> </w:t>
      </w:r>
      <w:r w:rsidRPr="0020491F">
        <w:rPr>
          <w:noProof/>
        </w:rPr>
        <w:t> </w:t>
      </w:r>
      <w:r w:rsidRPr="0020491F">
        <w:rPr>
          <w:noProof/>
        </w:rPr>
        <w:t> </w:t>
      </w:r>
      <w:r w:rsidRPr="0020491F">
        <w:rPr>
          <w:noProof/>
        </w:rPr>
        <w:t> </w:t>
      </w:r>
      <w:r w:rsidRPr="0020491F">
        <w:rPr>
          <w:noProof/>
        </w:rPr>
        <w:t> </w:t>
      </w:r>
      <w:r w:rsidRPr="0020491F">
        <w:fldChar w:fldCharType="end"/>
      </w:r>
      <w:r w:rsidR="00BE5A56">
        <w:rPr>
          <w:rStyle w:val="Znakapoznpodarou"/>
          <w:rFonts w:cs="Verdana"/>
        </w:rPr>
        <w:footnoteReference w:id="3"/>
      </w:r>
      <w:r w:rsidR="007E1B59" w:rsidRPr="00BE5A56">
        <w:rPr>
          <w:rFonts w:cs="Verdana"/>
        </w:rPr>
        <w:t xml:space="preserve"> </w:t>
      </w:r>
      <w:r w:rsidR="007E1B59" w:rsidRPr="00BE5A56">
        <w:rPr>
          <w:rFonts w:cs="Verdana"/>
          <w:u w:val="single"/>
        </w:rPr>
        <w:t>malým nebo středním podnikem</w:t>
      </w:r>
      <w:r w:rsidR="007E1B59" w:rsidRPr="00BE5A56">
        <w:rPr>
          <w:rFonts w:cs="Verdana"/>
        </w:rPr>
        <w:t xml:space="preserve"> (kategorie malých a středních podniků definuje doporučení Komise 2003/361/ES);</w:t>
      </w:r>
    </w:p>
    <w:p w14:paraId="36A1A7A8" w14:textId="79A97426" w:rsidR="004B1E89" w:rsidRPr="00BE5A56" w:rsidRDefault="00BB772E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20491F">
        <w:fldChar w:fldCharType="begin">
          <w:ffData>
            <w:name w:val="Text1"/>
            <w:enabled/>
            <w:calcOnExit w:val="0"/>
            <w:textInput/>
          </w:ffData>
        </w:fldChar>
      </w:r>
      <w:r w:rsidRPr="0020491F">
        <w:instrText xml:space="preserve"> FORMTEXT </w:instrText>
      </w:r>
      <w:r w:rsidRPr="0020491F">
        <w:fldChar w:fldCharType="separate"/>
      </w:r>
      <w:r w:rsidRPr="0020491F">
        <w:rPr>
          <w:noProof/>
        </w:rPr>
        <w:t> </w:t>
      </w:r>
      <w:r w:rsidRPr="0020491F">
        <w:rPr>
          <w:noProof/>
        </w:rPr>
        <w:t> </w:t>
      </w:r>
      <w:r w:rsidRPr="0020491F">
        <w:rPr>
          <w:noProof/>
        </w:rPr>
        <w:t> </w:t>
      </w:r>
      <w:r w:rsidRPr="0020491F">
        <w:rPr>
          <w:noProof/>
        </w:rPr>
        <w:t> </w:t>
      </w:r>
      <w:r w:rsidRPr="0020491F">
        <w:rPr>
          <w:noProof/>
        </w:rPr>
        <w:t> </w:t>
      </w:r>
      <w:r w:rsidRPr="0020491F">
        <w:fldChar w:fldCharType="end"/>
      </w:r>
      <w:r w:rsidR="00BE5A56">
        <w:rPr>
          <w:rStyle w:val="Znakapoznpodarou"/>
          <w:rFonts w:cs="Verdana"/>
        </w:rPr>
        <w:footnoteReference w:id="4"/>
      </w:r>
      <w:r w:rsidR="00783F17" w:rsidRPr="00BE5A56">
        <w:rPr>
          <w:rFonts w:cs="Verdana"/>
        </w:rPr>
        <w:t xml:space="preserve"> kótován na burze cenných papírů;</w:t>
      </w:r>
    </w:p>
    <w:p w14:paraId="36A1A7A9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36A1A7AA" w14:textId="4C34F14F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D10F2B">
        <w:rPr>
          <w:rFonts w:cs="Verdana"/>
          <w:b/>
          <w:bCs/>
        </w:rPr>
        <w:t>se podrobně seznámil s</w:t>
      </w:r>
      <w:r w:rsidR="00783F17" w:rsidRPr="00D10F2B">
        <w:rPr>
          <w:rFonts w:cs="Verdana"/>
          <w:b/>
          <w:bCs/>
        </w:rPr>
        <w:t> obchodními podmínkami</w:t>
      </w:r>
      <w:r w:rsidRPr="00BE5A56">
        <w:rPr>
          <w:rFonts w:cs="Verdana"/>
        </w:rPr>
        <w:t>, kter</w:t>
      </w:r>
      <w:r w:rsidR="00783F17" w:rsidRPr="00BE5A56">
        <w:rPr>
          <w:rFonts w:cs="Verdana"/>
        </w:rPr>
        <w:t>é</w:t>
      </w:r>
      <w:r w:rsidRPr="00BE5A56">
        <w:rPr>
          <w:rFonts w:cs="Verdana"/>
        </w:rPr>
        <w:t xml:space="preserve"> </w:t>
      </w:r>
      <w:r w:rsidR="00783F17" w:rsidRPr="00BE5A56">
        <w:rPr>
          <w:rFonts w:cs="Verdana"/>
        </w:rPr>
        <w:t>tvoří</w:t>
      </w:r>
      <w:r w:rsidRPr="00BE5A56">
        <w:rPr>
          <w:rFonts w:cs="Verdana"/>
        </w:rPr>
        <w:t xml:space="preserve"> přílohu č. </w:t>
      </w:r>
      <w:r w:rsidR="00783F17" w:rsidRPr="00BE5A56">
        <w:rPr>
          <w:rFonts w:cs="Verdana"/>
        </w:rPr>
        <w:t>2</w:t>
      </w:r>
      <w:r w:rsidRPr="00BE5A56">
        <w:rPr>
          <w:rFonts w:cs="Verdana"/>
        </w:rPr>
        <w:t xml:space="preserve"> zadávací dokumentace, </w:t>
      </w:r>
      <w:r w:rsidRPr="00D10F2B">
        <w:rPr>
          <w:rFonts w:cs="Verdana"/>
          <w:b/>
          <w:bCs/>
        </w:rPr>
        <w:t>bez výhrad s n</w:t>
      </w:r>
      <w:r w:rsidR="00783F17" w:rsidRPr="00D10F2B">
        <w:rPr>
          <w:rFonts w:cs="Verdana"/>
          <w:b/>
          <w:bCs/>
        </w:rPr>
        <w:t>imi</w:t>
      </w:r>
      <w:r w:rsidRPr="00D10F2B">
        <w:rPr>
          <w:rFonts w:cs="Verdana"/>
          <w:b/>
          <w:bCs/>
        </w:rPr>
        <w:t xml:space="preserve"> souhlasí a bere na vědomí</w:t>
      </w:r>
      <w:r w:rsidRPr="00BE5A56">
        <w:rPr>
          <w:rFonts w:cs="Verdana"/>
        </w:rPr>
        <w:t xml:space="preserve">, že </w:t>
      </w:r>
      <w:r w:rsidR="00783F17" w:rsidRPr="00BE5A56">
        <w:rPr>
          <w:rFonts w:cs="Verdana"/>
        </w:rPr>
        <w:t>tyto</w:t>
      </w:r>
      <w:r w:rsidRPr="00BE5A56">
        <w:rPr>
          <w:rFonts w:cs="Verdana"/>
        </w:rPr>
        <w:t xml:space="preserve"> obchodní podmínk</w:t>
      </w:r>
      <w:r w:rsidR="00783F17" w:rsidRPr="00BE5A56">
        <w:rPr>
          <w:rFonts w:cs="Verdana"/>
        </w:rPr>
        <w:t>y</w:t>
      </w:r>
      <w:r w:rsidRPr="00BE5A56">
        <w:rPr>
          <w:rFonts w:cs="Verdana"/>
        </w:rPr>
        <w:t xml:space="preserve"> m</w:t>
      </w:r>
      <w:r w:rsidR="00783F17" w:rsidRPr="00BE5A56">
        <w:rPr>
          <w:rFonts w:cs="Verdana"/>
        </w:rPr>
        <w:t>ohou</w:t>
      </w:r>
      <w:r w:rsidRPr="00BE5A56">
        <w:rPr>
          <w:rFonts w:cs="Verdana"/>
        </w:rPr>
        <w:t xml:space="preserve"> platit po celou dobu trvání DNS, </w:t>
      </w:r>
    </w:p>
    <w:p w14:paraId="36A1A7AB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„</w:t>
      </w:r>
      <w:r w:rsidRPr="005E2E41">
        <w:rPr>
          <w:rFonts w:cs="Verdana"/>
          <w:b/>
        </w:rPr>
        <w:t>prohlášení o neexistenci střetu zájmů</w:t>
      </w:r>
      <w:r w:rsidRPr="00BE5A56">
        <w:rPr>
          <w:rFonts w:cs="Verdana"/>
        </w:rPr>
        <w:t>“</w:t>
      </w:r>
    </w:p>
    <w:p w14:paraId="36A1A7AC" w14:textId="77777777" w:rsidR="004B1E89" w:rsidRDefault="007E1B59">
      <w:pPr>
        <w:keepNext/>
        <w:numPr>
          <w:ilvl w:val="0"/>
          <w:numId w:val="31"/>
        </w:numPr>
        <w:suppressAutoHyphens/>
        <w:spacing w:after="12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>
        <w:rPr>
          <w:rFonts w:eastAsia="Times New Roman" w:cs="Calibri"/>
          <w:bCs/>
          <w:lang w:eastAsia="cs-CZ"/>
        </w:rPr>
        <w:t>zákon o střetu zájmů</w:t>
      </w:r>
      <w:r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36A1A7AD" w14:textId="77777777" w:rsidR="004B1E89" w:rsidRDefault="007E1B59">
      <w:pPr>
        <w:keepNext/>
        <w:numPr>
          <w:ilvl w:val="0"/>
          <w:numId w:val="31"/>
        </w:numPr>
        <w:suppressAutoHyphens/>
        <w:spacing w:after="24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že jako účastník neprokazuje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společnosti;</w:t>
      </w:r>
    </w:p>
    <w:p w14:paraId="6642277D" w14:textId="77777777" w:rsidR="00FA0E60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neexistují důvody, pro které by mu nebylo možné zadávat veřejné zakázky ve smyslu článku 5k Nařízení Rady (EU) 2022/576 ze dne 8. dubna 2022, kterým se mění nařízení (EU) č. 833/2014 o omezujících opatřeních vzhledem k činnostem Ruska destabilizujícím situaci na Ukrajině;</w:t>
      </w:r>
      <w:r w:rsidR="00FA0E60" w:rsidRPr="00BE5A56">
        <w:rPr>
          <w:rFonts w:cs="Verdana"/>
        </w:rPr>
        <w:t xml:space="preserve"> tj.</w:t>
      </w:r>
    </w:p>
    <w:p w14:paraId="760B9D94" w14:textId="72460002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není</w:t>
      </w:r>
    </w:p>
    <w:p w14:paraId="2F6B446E" w14:textId="67E0665C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a)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ruským státním příslušníkem, fyzickou či právnickou osobou, subjektem či orgánem se sídlem v Rusku,</w:t>
      </w:r>
    </w:p>
    <w:p w14:paraId="412CEF80" w14:textId="66A565F9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b)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právnickou osobou, subjektem nebo orgánem, který je z více než 50</w:t>
      </w:r>
      <w:r w:rsidR="005E2E41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% přímo či nepřímo vlastněný některým ze subjektů uvedených v písmeni a), nebo</w:t>
      </w:r>
    </w:p>
    <w:p w14:paraId="36A1A7AE" w14:textId="693713B7" w:rsidR="004B1E89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c)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fyzickou nebo právnickou osobou, subjektem nebo orgánem, který jedná jménem nebo na pokyn některého ze subjektů uvedených v písmeni a) nebo b);</w:t>
      </w:r>
    </w:p>
    <w:p w14:paraId="7413F81E" w14:textId="77777777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nevyužije</w:t>
      </w:r>
      <w:r w:rsidRPr="005E2E41">
        <w:rPr>
          <w:rFonts w:eastAsia="Times New Roman" w:cs="Arial"/>
          <w:lang w:eastAsia="cs-CZ"/>
        </w:rPr>
        <w:t xml:space="preserve"> </w:t>
      </w:r>
      <w:r w:rsidRPr="00FA0E60">
        <w:rPr>
          <w:rFonts w:eastAsia="Times New Roman" w:cs="Arial"/>
          <w:lang w:eastAsia="cs-CZ"/>
        </w:rPr>
        <w:t>při plnění veřejné zakázky poddodavatele, který by naplnil výše uvedená písm. a) – c), pokud by plnil více než 10 % hodnoty zakázky;</w:t>
      </w:r>
    </w:p>
    <w:p w14:paraId="2C4D7AE0" w14:textId="739E2BAB" w:rsidR="00FA0E60" w:rsidRP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 xml:space="preserve">žádné finanční prostředky, které obdrží za plnění veřejné zakázky, přímo ani nepřímo nezpřístupní fyzickým nebo právnickým osobám, subjektům či </w:t>
      </w:r>
      <w:r w:rsidRPr="00FA0E60">
        <w:rPr>
          <w:rFonts w:eastAsia="Times New Roman" w:cs="Arial"/>
          <w:lang w:eastAsia="cs-CZ"/>
        </w:rPr>
        <w:lastRenderedPageBreak/>
        <w:t xml:space="preserve">orgánům s nimi spojeným uvedeným v sankčním seznamu v příloze nařízení Rady (EU) č. 269/2014 ve spojení </w:t>
      </w:r>
      <w:r w:rsidRPr="005E2E41">
        <w:rPr>
          <w:rFonts w:eastAsia="Times New Roman" w:cs="Arial"/>
          <w:lang w:eastAsia="cs-CZ"/>
        </w:rPr>
        <w:t>s prováděcím nařízením Rady (EU) č. 2022/581, nařízení Rady (EU)</w:t>
      </w:r>
      <w:r w:rsidRPr="00FA0E60">
        <w:rPr>
          <w:rFonts w:eastAsia="Times New Roman" w:cs="Arial"/>
          <w:lang w:eastAsia="cs-CZ"/>
        </w:rPr>
        <w:t xml:space="preserve"> č. 208/2014 a nařízení Rady (ES) č. 765/2006 nebo v jejich prospěch;</w:t>
      </w:r>
    </w:p>
    <w:p w14:paraId="36A1A7AF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při realizaci veřejné zakázky zajistí dodržování principu sociální odpovědnosti (zejména legální zaměstnávání, férové a důstojné pracovní podmínky, bezpečnost práce pro všechny osoby podílející se na plnění veřejné zakázky a spravedlivé podmínky v rámci celého poddodavatelského řetězce), bude dbát na environmentálně odpovědné chování (zejména minimalizovat negativní dopad na životní prostředí, respektovat udržitelnost a využívat možnosti recyklace) a bude-li to možné a vhodné, zajistí implementaci nových nebo zlepšených produktů či postupů;</w:t>
      </w:r>
    </w:p>
    <w:p w14:paraId="36A1A7B0" w14:textId="1D0C32A6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podáním své žádosti o účast potvrzuje její správnost a závaznost v plném rozsahu, tj. včetně pravdivosti všech bodů a údajů uvedených v tomto souhrnném Prohlášení o tom, že splňuje kvalifikaci definovanou Zákonem a zadávacími podmínkami v plném rozsahu.</w:t>
      </w:r>
    </w:p>
    <w:p w14:paraId="36A1A7B1" w14:textId="77777777" w:rsidR="004B1E89" w:rsidRDefault="004B1E89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B1E89" w14:paraId="36A1A7B4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6A1A7B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3" w14:textId="65A09601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7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6A1A7B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6" w14:textId="5CA785E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A" w14:textId="77777777">
        <w:trPr>
          <w:trHeight w:val="1998"/>
        </w:trPr>
        <w:tc>
          <w:tcPr>
            <w:tcW w:w="3369" w:type="dxa"/>
            <w:shd w:val="clear" w:color="auto" w:fill="auto"/>
            <w:vAlign w:val="center"/>
          </w:tcPr>
          <w:p w14:paraId="36A1A7B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9" w14:textId="21C9753E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BC" w14:textId="77777777" w:rsidR="004B1E89" w:rsidRDefault="004B1E89">
      <w:pPr>
        <w:suppressAutoHyphens/>
        <w:spacing w:line="276" w:lineRule="auto"/>
        <w:jc w:val="both"/>
        <w:rPr>
          <w:rFonts w:cs="Arial"/>
        </w:rPr>
      </w:pPr>
    </w:p>
    <w:sectPr w:rsidR="004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4034" w14:textId="77777777" w:rsidR="0022793F" w:rsidRDefault="0022793F">
      <w:pPr>
        <w:spacing w:after="0"/>
      </w:pPr>
      <w:r>
        <w:separator/>
      </w:r>
    </w:p>
  </w:endnote>
  <w:endnote w:type="continuationSeparator" w:id="0">
    <w:p w14:paraId="7AA094D7" w14:textId="77777777" w:rsidR="0022793F" w:rsidRDefault="002279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E170" w14:textId="77777777" w:rsidR="0022793F" w:rsidRDefault="0022793F">
      <w:pPr>
        <w:spacing w:after="0"/>
      </w:pPr>
      <w:r>
        <w:separator/>
      </w:r>
    </w:p>
  </w:footnote>
  <w:footnote w:type="continuationSeparator" w:id="0">
    <w:p w14:paraId="182D1A95" w14:textId="77777777" w:rsidR="0022793F" w:rsidRDefault="0022793F">
      <w:pPr>
        <w:spacing w:after="0"/>
      </w:pPr>
      <w:r>
        <w:continuationSeparator/>
      </w:r>
    </w:p>
  </w:footnote>
  <w:footnote w:id="1">
    <w:p w14:paraId="36A1A7C3" w14:textId="13294D6E" w:rsidR="004B1E89" w:rsidRDefault="007E1B5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  <w:sz w:val="22"/>
          <w:szCs w:val="22"/>
        </w:rPr>
        <w:footnoteRef/>
      </w:r>
      <w:r>
        <w:rPr>
          <w:sz w:val="22"/>
          <w:szCs w:val="22"/>
        </w:rPr>
        <w:t xml:space="preserve"> Nehodící se škrtněte, v případě společné žádosti o účast uveďte identifikační údaje </w:t>
      </w:r>
      <w:r>
        <w:rPr>
          <w:b/>
          <w:bCs/>
          <w:sz w:val="22"/>
          <w:szCs w:val="22"/>
        </w:rPr>
        <w:t>všech dodavatelů</w:t>
      </w:r>
      <w:r>
        <w:rPr>
          <w:sz w:val="22"/>
          <w:szCs w:val="22"/>
        </w:rPr>
        <w:t>, kteří předkládají společnou žádost o účast</w:t>
      </w:r>
      <w:r w:rsidR="00650E27">
        <w:rPr>
          <w:sz w:val="22"/>
          <w:szCs w:val="22"/>
        </w:rPr>
        <w:t xml:space="preserve"> – tabulku v takové případě zkopírujte</w:t>
      </w:r>
      <w:r>
        <w:rPr>
          <w:sz w:val="22"/>
          <w:szCs w:val="22"/>
        </w:rPr>
        <w:t>.</w:t>
      </w:r>
    </w:p>
  </w:footnote>
  <w:footnote w:id="2">
    <w:p w14:paraId="36A1A7C4" w14:textId="3CD3486B" w:rsidR="004B1E89" w:rsidRDefault="007E1B59">
      <w:pPr>
        <w:pStyle w:val="Textpoznpodarou"/>
        <w:rPr>
          <w:rFonts w:ascii="Verdana" w:hAnsi="Verdana" w:cs="Verdana"/>
          <w:sz w:val="18"/>
          <w:szCs w:val="18"/>
        </w:rPr>
      </w:pPr>
      <w:r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12/12/20</w:t>
      </w:r>
      <w:r w:rsidR="00650E27">
        <w:rPr>
          <w:rFonts w:ascii="Verdana" w:hAnsi="Verdana" w:cs="Verdana"/>
          <w:sz w:val="18"/>
          <w:szCs w:val="18"/>
        </w:rPr>
        <w:t>20</w:t>
      </w:r>
      <w:r>
        <w:rPr>
          <w:rFonts w:ascii="Verdana" w:hAnsi="Verdana" w:cs="Verdana"/>
          <w:sz w:val="18"/>
          <w:szCs w:val="18"/>
        </w:rPr>
        <w:t xml:space="preserve"> – 12/06/</w:t>
      </w:r>
      <w:r w:rsidR="00650E27">
        <w:rPr>
          <w:rFonts w:ascii="Verdana" w:hAnsi="Verdana" w:cs="Verdana"/>
          <w:sz w:val="18"/>
          <w:szCs w:val="18"/>
        </w:rPr>
        <w:t>20</w:t>
      </w:r>
      <w:r>
        <w:rPr>
          <w:rFonts w:ascii="Verdana" w:hAnsi="Verdana" w:cs="Verdana"/>
          <w:sz w:val="18"/>
          <w:szCs w:val="18"/>
        </w:rPr>
        <w:t>22</w:t>
      </w:r>
    </w:p>
  </w:footnote>
  <w:footnote w:id="3">
    <w:p w14:paraId="3957E50A" w14:textId="15AB0062" w:rsidR="00BE5A56" w:rsidRDefault="00BE5A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431B">
        <w:t>D</w:t>
      </w:r>
      <w:r w:rsidR="00BB772E">
        <w:t xml:space="preserve">oplňte </w:t>
      </w:r>
      <w:r w:rsidR="00CB431B">
        <w:t>Je nebo Není</w:t>
      </w:r>
    </w:p>
  </w:footnote>
  <w:footnote w:id="4">
    <w:p w14:paraId="0AADDE08" w14:textId="5C3A7E20" w:rsidR="00BE5A56" w:rsidRDefault="00BE5A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431B">
        <w:t>Doplňte Je nebo Není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3225"/>
    <w:multiLevelType w:val="hybridMultilevel"/>
    <w:tmpl w:val="16D070CC"/>
    <w:lvl w:ilvl="0" w:tplc="504002B2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637F8D"/>
    <w:multiLevelType w:val="multilevel"/>
    <w:tmpl w:val="7054B8AC"/>
    <w:lvl w:ilvl="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5" w15:restartNumberingAfterBreak="0">
    <w:nsid w:val="147D3DE4"/>
    <w:multiLevelType w:val="hybridMultilevel"/>
    <w:tmpl w:val="D3A2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18E9"/>
    <w:multiLevelType w:val="hybridMultilevel"/>
    <w:tmpl w:val="68448460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86A6B"/>
    <w:multiLevelType w:val="hybridMultilevel"/>
    <w:tmpl w:val="75D627AE"/>
    <w:lvl w:ilvl="0" w:tplc="B3B47624">
      <w:start w:val="9"/>
      <w:numFmt w:val="bullet"/>
      <w:lvlText w:val="-"/>
      <w:lvlJc w:val="left"/>
      <w:pPr>
        <w:ind w:left="1515" w:hanging="360"/>
      </w:pPr>
      <w:rPr>
        <w:rFonts w:ascii="Verdana" w:eastAsia="Times New Roman" w:hAnsi="Verdana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8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CE8"/>
    <w:multiLevelType w:val="hybridMultilevel"/>
    <w:tmpl w:val="6E68F67E"/>
    <w:lvl w:ilvl="0" w:tplc="504002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7B6B"/>
    <w:multiLevelType w:val="multilevel"/>
    <w:tmpl w:val="1110EA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D0E683C"/>
    <w:multiLevelType w:val="hybridMultilevel"/>
    <w:tmpl w:val="530C47D6"/>
    <w:lvl w:ilvl="0" w:tplc="408EFC8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29"/>
  </w:num>
  <w:num w:numId="7">
    <w:abstractNumId w:val="9"/>
  </w:num>
  <w:num w:numId="8">
    <w:abstractNumId w:val="8"/>
  </w:num>
  <w:num w:numId="9">
    <w:abstractNumId w:val="19"/>
  </w:num>
  <w:num w:numId="10">
    <w:abstractNumId w:val="21"/>
  </w:num>
  <w:num w:numId="11">
    <w:abstractNumId w:val="26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6"/>
  </w:num>
  <w:num w:numId="17">
    <w:abstractNumId w:val="1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2"/>
  </w:num>
  <w:num w:numId="22">
    <w:abstractNumId w:val="10"/>
  </w:num>
  <w:num w:numId="23">
    <w:abstractNumId w:val="16"/>
  </w:num>
  <w:num w:numId="24">
    <w:abstractNumId w:val="24"/>
  </w:num>
  <w:num w:numId="25">
    <w:abstractNumId w:val="18"/>
  </w:num>
  <w:num w:numId="26">
    <w:abstractNumId w:val="20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3"/>
  </w:num>
  <w:num w:numId="30">
    <w:abstractNumId w:val="27"/>
  </w:num>
  <w:num w:numId="31">
    <w:abstractNumId w:val="2"/>
  </w:num>
  <w:num w:numId="32">
    <w:abstractNumId w:val="5"/>
  </w:num>
  <w:num w:numId="33">
    <w:abstractNumId w:val="15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RUTievKZuCyakGAO7YVIxeLQe3Ja75HYd5Ij6ELDcO5EeYWuR6iHQdBn8LB2E5AKr1qQ3RuecfYTpFNRlaj/9w==" w:salt="KTNuFJtTi8M8wWSAfTLM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89"/>
    <w:rsid w:val="000345A5"/>
    <w:rsid w:val="000513DC"/>
    <w:rsid w:val="00167EF6"/>
    <w:rsid w:val="00182174"/>
    <w:rsid w:val="0022793F"/>
    <w:rsid w:val="00241566"/>
    <w:rsid w:val="004B1E89"/>
    <w:rsid w:val="00533E0B"/>
    <w:rsid w:val="005E2E41"/>
    <w:rsid w:val="00650E27"/>
    <w:rsid w:val="00783F17"/>
    <w:rsid w:val="007E1B59"/>
    <w:rsid w:val="008A48B6"/>
    <w:rsid w:val="008D17C5"/>
    <w:rsid w:val="009049BF"/>
    <w:rsid w:val="00A40BB0"/>
    <w:rsid w:val="00A62281"/>
    <w:rsid w:val="00A91A92"/>
    <w:rsid w:val="00BB772E"/>
    <w:rsid w:val="00BE5A56"/>
    <w:rsid w:val="00CB431B"/>
    <w:rsid w:val="00CE0E1A"/>
    <w:rsid w:val="00D10F2B"/>
    <w:rsid w:val="00E546DF"/>
    <w:rsid w:val="00F11603"/>
    <w:rsid w:val="00F25CE8"/>
    <w:rsid w:val="00FA0E60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6E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7">
    <w:name w:val="Style17"/>
    <w:basedOn w:val="Standard"/>
  </w:style>
  <w:style w:type="character" w:customStyle="1" w:styleId="FontStyle60">
    <w:name w:val="Font Style60"/>
  </w:style>
  <w:style w:type="paragraph" w:customStyle="1" w:styleId="Textbody">
    <w:name w:val="Text body"/>
    <w:basedOn w:val="Standard"/>
    <w:uiPriority w:val="99"/>
    <w:rPr>
      <w:b/>
      <w:sz w:val="28"/>
      <w:szCs w:val="20"/>
      <w:u w:val="single"/>
    </w:rPr>
  </w:style>
  <w:style w:type="character" w:customStyle="1" w:styleId="FontStyle61">
    <w:name w:val="Font Style61"/>
  </w:style>
  <w:style w:type="paragraph" w:customStyle="1" w:styleId="Normln12">
    <w:name w:val="Normální 12"/>
    <w:basedOn w:val="Normln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167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E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EF6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vs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se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2" ma:contentTypeDescription="Vytvoří nový dokument" ma:contentTypeScope="" ma:versionID="8b4003b8bc785e527719a51c5081b58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4e0262fd8083b1814cad1e31a38f7026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A4D23-DB67-4AB5-90E3-4193D7AE8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7C223-8FDB-4753-A98C-C5ECFB87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9170C-1F27-44E3-ADBE-78EA40706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D41729-54CD-473B-9E49-B9A0FEA8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1223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Jan Zavřel</cp:lastModifiedBy>
  <cp:revision>164</cp:revision>
  <dcterms:created xsi:type="dcterms:W3CDTF">2023-12-19T09:48:00Z</dcterms:created>
  <dcterms:modified xsi:type="dcterms:W3CDTF">2025-09-25T11:28:00Z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