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62" w:rsidRPr="00F03EA0" w:rsidRDefault="007C6162" w:rsidP="007C6162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Swis721 CE" w:hAnsi="Swis721 CE" w:cs="Helvetica"/>
        </w:rPr>
      </w:pPr>
      <w:bookmarkStart w:id="0" w:name="_Toc477274956"/>
      <w:bookmarkStart w:id="1" w:name="_Hlk75211526"/>
      <w:bookmarkStart w:id="2" w:name="_Toc206286271"/>
      <w:bookmarkStart w:id="3" w:name="_GoBack"/>
      <w:r w:rsidRPr="00F03EA0">
        <w:rPr>
          <w:rFonts w:ascii="Swis721 CE" w:hAnsi="Swis721 CE" w:cs="Helvetica"/>
        </w:rPr>
        <w:t xml:space="preserve">Příloha č. 1 – </w:t>
      </w:r>
      <w:bookmarkEnd w:id="0"/>
      <w:r w:rsidRPr="00F03EA0">
        <w:rPr>
          <w:rFonts w:ascii="Swis721 CE" w:hAnsi="Swis721 CE" w:cs="Helvetica"/>
        </w:rPr>
        <w:t>Formulář nabídky</w:t>
      </w:r>
      <w:bookmarkEnd w:id="2"/>
    </w:p>
    <w:bookmarkEnd w:id="1"/>
    <w:bookmarkEnd w:id="3"/>
    <w:p w:rsidR="007C6162" w:rsidRPr="00F03EA0" w:rsidRDefault="007C6162" w:rsidP="007C6162">
      <w:pPr>
        <w:jc w:val="center"/>
        <w:rPr>
          <w:rFonts w:ascii="Swis721 CE" w:hAnsi="Swis721 CE" w:cs="Helvetica"/>
          <w:sz w:val="28"/>
          <w:szCs w:val="28"/>
        </w:rPr>
      </w:pPr>
    </w:p>
    <w:p w:rsidR="007C6162" w:rsidRPr="00F03EA0" w:rsidRDefault="007C6162" w:rsidP="007C6162">
      <w:pPr>
        <w:jc w:val="center"/>
        <w:rPr>
          <w:rFonts w:ascii="Swis721 CE" w:hAnsi="Swis721 CE" w:cs="Helvetica"/>
          <w:sz w:val="28"/>
          <w:szCs w:val="28"/>
        </w:rPr>
      </w:pPr>
      <w:r w:rsidRPr="00F03EA0">
        <w:rPr>
          <w:rFonts w:ascii="Swis721 CE" w:hAnsi="Swis721 CE" w:cs="Helvetica"/>
          <w:sz w:val="28"/>
          <w:szCs w:val="28"/>
        </w:rPr>
        <w:t>Sekce I – Krycí list nabídky</w:t>
      </w:r>
    </w:p>
    <w:p w:rsidR="007C6162" w:rsidRPr="00F03EA0" w:rsidRDefault="007C6162" w:rsidP="007C6162">
      <w:pPr>
        <w:jc w:val="center"/>
        <w:rPr>
          <w:rFonts w:ascii="Swis721 CE" w:hAnsi="Swis721 CE" w:cs="Helvetica"/>
          <w:sz w:val="28"/>
          <w:szCs w:val="28"/>
        </w:rPr>
      </w:pPr>
    </w:p>
    <w:p w:rsidR="007C6162" w:rsidRPr="00F03EA0" w:rsidRDefault="007C6162" w:rsidP="007C6162">
      <w:pPr>
        <w:rPr>
          <w:rFonts w:ascii="Swis721 CE" w:hAnsi="Swis721 CE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47"/>
      </w:tblGrid>
      <w:tr w:rsidR="007C6162" w:rsidRPr="00F03EA0" w:rsidTr="00F06B92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ACB9CA" w:themeColor="text2" w:themeTint="66"/>
                <w:sz w:val="32"/>
                <w:szCs w:val="32"/>
              </w:rPr>
            </w:pPr>
            <w:r w:rsidRPr="00F03EA0">
              <w:rPr>
                <w:rFonts w:ascii="Swis721 CE" w:hAnsi="Swis721 CE" w:cs="Helvetica"/>
                <w:sz w:val="32"/>
                <w:szCs w:val="32"/>
              </w:rPr>
              <w:t>Identifikace veřejné zakázky</w:t>
            </w:r>
          </w:p>
        </w:tc>
      </w:tr>
      <w:tr w:rsidR="007C6162" w:rsidRPr="00F03EA0" w:rsidTr="00F06B92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bottom w:val="single" w:sz="12" w:space="0" w:color="D5DCE4" w:themeColor="text2" w:themeTint="33"/>
              <w:right w:val="single" w:sz="8" w:space="0" w:color="ACB9CA" w:themeColor="text2" w:themeTint="66"/>
            </w:tcBorders>
            <w:noWrap/>
            <w:vAlign w:val="center"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ACB9CA" w:themeColor="text2" w:themeTint="66"/>
                <w:sz w:val="40"/>
                <w:szCs w:val="40"/>
              </w:rPr>
            </w:pPr>
          </w:p>
          <w:p w:rsidR="007C6162" w:rsidRPr="00336EF8" w:rsidRDefault="007C6162" w:rsidP="00F06B92">
            <w:pPr>
              <w:jc w:val="center"/>
              <w:rPr>
                <w:rFonts w:ascii="Swis721 CE" w:hAnsi="Swis721 CE" w:cs="Helvetica"/>
                <w:sz w:val="44"/>
                <w:szCs w:val="44"/>
              </w:rPr>
            </w:pPr>
            <w:r w:rsidRPr="00336EF8">
              <w:rPr>
                <w:rFonts w:ascii="Arial" w:hAnsi="Arial" w:cs="Arial"/>
                <w:color w:val="00B0F0"/>
                <w:sz w:val="44"/>
                <w:szCs w:val="44"/>
              </w:rPr>
              <w:t xml:space="preserve">GPU Server (OP </w:t>
            </w:r>
            <w:proofErr w:type="gramStart"/>
            <w:r w:rsidRPr="00336EF8">
              <w:rPr>
                <w:rFonts w:ascii="Arial" w:hAnsi="Arial" w:cs="Arial"/>
                <w:color w:val="00B0F0"/>
                <w:sz w:val="44"/>
                <w:szCs w:val="44"/>
              </w:rPr>
              <w:t>JAK  -</w:t>
            </w:r>
            <w:proofErr w:type="gramEnd"/>
            <w:r w:rsidRPr="00336EF8">
              <w:rPr>
                <w:rFonts w:ascii="Arial" w:hAnsi="Arial" w:cs="Arial"/>
                <w:color w:val="00B0F0"/>
                <w:sz w:val="44"/>
                <w:szCs w:val="44"/>
              </w:rPr>
              <w:t xml:space="preserve"> Ph.D. INFRA)</w:t>
            </w:r>
          </w:p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sz w:val="28"/>
                <w:szCs w:val="28"/>
              </w:rPr>
            </w:pPr>
          </w:p>
          <w:p w:rsidR="007C6162" w:rsidRDefault="007C6162" w:rsidP="00F06B92">
            <w:pPr>
              <w:jc w:val="center"/>
              <w:rPr>
                <w:rFonts w:ascii="Swis721 CE" w:hAnsi="Swis721 CE" w:cs="Helvetica"/>
              </w:rPr>
            </w:pPr>
            <w:r w:rsidRPr="00F03EA0">
              <w:rPr>
                <w:rFonts w:ascii="Swis721 CE" w:hAnsi="Swis721 CE" w:cs="Helvetica"/>
              </w:rPr>
              <w:t xml:space="preserve">pro zadání </w:t>
            </w:r>
            <w:r w:rsidRPr="00F03EA0">
              <w:rPr>
                <w:rFonts w:ascii="Swis721 CE" w:hAnsi="Swis721 CE" w:cs="Helvetica"/>
                <w:b/>
              </w:rPr>
              <w:t>nadlimitní veřejné zakázky</w:t>
            </w:r>
            <w:r w:rsidRPr="00F03EA0">
              <w:rPr>
                <w:rFonts w:ascii="Swis721 CE" w:hAnsi="Swis721 CE" w:cs="Helvetica"/>
              </w:rPr>
              <w:t xml:space="preserve"> na dodávky </w:t>
            </w:r>
          </w:p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</w:rPr>
            </w:pPr>
            <w:r w:rsidRPr="00F03EA0">
              <w:rPr>
                <w:rFonts w:ascii="Swis721 CE" w:hAnsi="Swis721 CE" w:cs="Helvetica"/>
              </w:rPr>
              <w:t>v</w:t>
            </w:r>
            <w:r>
              <w:rPr>
                <w:rFonts w:ascii="Swis721 CE" w:hAnsi="Swis721 CE" w:cs="Helvetica"/>
              </w:rPr>
              <w:t xml:space="preserve"> </w:t>
            </w:r>
            <w:r w:rsidRPr="00F03EA0">
              <w:rPr>
                <w:rFonts w:ascii="Swis721 CE" w:hAnsi="Swis721 CE" w:cs="Helvetica"/>
                <w:b/>
              </w:rPr>
              <w:t>otevřeném řízení</w:t>
            </w:r>
          </w:p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ACB9CA" w:themeColor="text2" w:themeTint="66"/>
                <w:sz w:val="28"/>
                <w:szCs w:val="28"/>
              </w:rPr>
            </w:pPr>
          </w:p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ACB9CA" w:themeColor="text2" w:themeTint="66"/>
                <w:sz w:val="28"/>
                <w:szCs w:val="28"/>
              </w:rPr>
            </w:pPr>
          </w:p>
        </w:tc>
      </w:tr>
    </w:tbl>
    <w:p w:rsidR="007C6162" w:rsidRPr="00F03EA0" w:rsidRDefault="007C6162" w:rsidP="007C6162">
      <w:pPr>
        <w:jc w:val="center"/>
        <w:rPr>
          <w:rFonts w:ascii="Swis721 CE" w:hAnsi="Swis721 CE" w:cs="Helvetica"/>
        </w:rPr>
      </w:pPr>
    </w:p>
    <w:p w:rsidR="007C6162" w:rsidRPr="00F03EA0" w:rsidRDefault="007C6162" w:rsidP="007C6162">
      <w:pPr>
        <w:jc w:val="center"/>
        <w:rPr>
          <w:rFonts w:ascii="Swis721 CE" w:hAnsi="Swis721 CE" w:cs="Helvetica"/>
        </w:rPr>
      </w:pPr>
    </w:p>
    <w:p w:rsidR="007C6162" w:rsidRPr="00F03EA0" w:rsidRDefault="007C6162" w:rsidP="007C6162">
      <w:pPr>
        <w:jc w:val="center"/>
        <w:rPr>
          <w:rFonts w:ascii="Swis721 CE" w:hAnsi="Swis721 CE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3"/>
        <w:gridCol w:w="5204"/>
      </w:tblGrid>
      <w:tr w:rsidR="007C6162" w:rsidRPr="00F03EA0" w:rsidTr="00F06B92">
        <w:trPr>
          <w:trHeight w:val="721"/>
        </w:trPr>
        <w:tc>
          <w:tcPr>
            <w:tcW w:w="9047" w:type="dxa"/>
            <w:gridSpan w:val="2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sz w:val="28"/>
                <w:szCs w:val="28"/>
              </w:rPr>
            </w:pPr>
            <w:r w:rsidRPr="00F03EA0">
              <w:rPr>
                <w:rFonts w:ascii="Swis721 CE" w:hAnsi="Swis721 CE" w:cs="Helvetica"/>
                <w:sz w:val="32"/>
                <w:szCs w:val="32"/>
              </w:rPr>
              <w:t>Identifikace dodavatele</w:t>
            </w: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nil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Název / Obchodní firma / Jméno: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nil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Právní forma: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IČO (je-li přiděleno):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Adresa sídla: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Osoba oprávněná jednat za dodavatele zadávacího řízení: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ID datové schránky: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Kontaktní osoba pro tuto veřejnou zakázku: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  <w:tr w:rsidR="007C6162" w:rsidRPr="00F03EA0" w:rsidTr="00F06B92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7C6162" w:rsidRPr="00F03EA0" w:rsidRDefault="007C6162" w:rsidP="00F06B92">
            <w:pPr>
              <w:jc w:val="right"/>
              <w:rPr>
                <w:rFonts w:ascii="Swis721 CE" w:hAnsi="Swis721 CE" w:cs="Helvetica"/>
                <w:color w:val="000000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7C6162" w:rsidRPr="00F03EA0" w:rsidRDefault="007C6162" w:rsidP="00F06B92">
            <w:pPr>
              <w:rPr>
                <w:rFonts w:ascii="Swis721 CE" w:hAnsi="Swis721 CE" w:cs="Helvetica"/>
                <w:color w:val="000000"/>
              </w:rPr>
            </w:pPr>
          </w:p>
        </w:tc>
      </w:tr>
    </w:tbl>
    <w:p w:rsidR="007C6162" w:rsidRPr="00F03EA0" w:rsidRDefault="007C6162" w:rsidP="007C6162">
      <w:pPr>
        <w:pStyle w:val="Zkladntext"/>
        <w:widowControl w:val="0"/>
        <w:spacing w:before="120" w:after="0"/>
        <w:jc w:val="both"/>
        <w:rPr>
          <w:rFonts w:ascii="Swis721 CE" w:hAnsi="Swis721 CE" w:cs="Helvetica"/>
        </w:rPr>
      </w:pPr>
    </w:p>
    <w:p w:rsidR="007C6162" w:rsidRPr="00F03EA0" w:rsidRDefault="007C6162" w:rsidP="007C6162">
      <w:pPr>
        <w:jc w:val="center"/>
        <w:rPr>
          <w:rFonts w:ascii="Swis721 CE" w:hAnsi="Swis721 CE" w:cs="Helvetica"/>
          <w:sz w:val="28"/>
          <w:szCs w:val="28"/>
        </w:rPr>
      </w:pPr>
      <w:r w:rsidRPr="00F03EA0">
        <w:rPr>
          <w:rFonts w:ascii="Swis721 CE" w:hAnsi="Swis721 CE" w:cs="Helvetica"/>
          <w:sz w:val="28"/>
          <w:szCs w:val="28"/>
        </w:rPr>
        <w:br w:type="page"/>
      </w:r>
      <w:r w:rsidRPr="00F03EA0">
        <w:rPr>
          <w:rFonts w:ascii="Swis721 CE" w:hAnsi="Swis721 CE" w:cs="Helvetica"/>
          <w:sz w:val="28"/>
          <w:szCs w:val="28"/>
        </w:rPr>
        <w:lastRenderedPageBreak/>
        <w:t>Sekce II – Specifikace předmětu plnění</w:t>
      </w:r>
    </w:p>
    <w:p w:rsidR="007C6162" w:rsidRPr="00F03EA0" w:rsidRDefault="007C6162" w:rsidP="007C6162">
      <w:pPr>
        <w:rPr>
          <w:rFonts w:ascii="Swis721 CE" w:eastAsiaTheme="minorHAnsi" w:hAnsi="Swis721 CE" w:cs="Helvetica"/>
          <w:color w:val="000000"/>
          <w:sz w:val="28"/>
          <w:szCs w:val="28"/>
          <w:lang w:eastAsia="en-US"/>
        </w:rPr>
      </w:pPr>
    </w:p>
    <w:p w:rsidR="007C6162" w:rsidRPr="00F03EA0" w:rsidRDefault="007C6162" w:rsidP="007C6162">
      <w:pPr>
        <w:pBdr>
          <w:bottom w:val="single" w:sz="4" w:space="1" w:color="00B0F0"/>
        </w:pBdr>
        <w:rPr>
          <w:rFonts w:ascii="Swis721 CE" w:hAnsi="Swis721 CE" w:cs="Helvetica"/>
          <w:b/>
        </w:rPr>
      </w:pPr>
      <w:r w:rsidRPr="00F03EA0">
        <w:rPr>
          <w:rFonts w:ascii="Swis721 CE" w:hAnsi="Swis721 CE" w:cs="Helvetica"/>
          <w:b/>
        </w:rPr>
        <w:t>Technické parametry</w:t>
      </w:r>
    </w:p>
    <w:p w:rsidR="007C6162" w:rsidRPr="00F03EA0" w:rsidRDefault="007C6162" w:rsidP="007C6162">
      <w:pPr>
        <w:rPr>
          <w:rFonts w:ascii="Swis721 CE" w:hAnsi="Swis721 CE" w:cs="Helvetica"/>
          <w:sz w:val="22"/>
          <w:szCs w:val="22"/>
        </w:rPr>
      </w:pPr>
    </w:p>
    <w:p w:rsidR="007C6162" w:rsidRPr="00F03EA0" w:rsidRDefault="007C6162" w:rsidP="007C6162">
      <w:pPr>
        <w:rPr>
          <w:rFonts w:ascii="Swis721 CE" w:hAnsi="Swis721 CE" w:cs="Helvetica"/>
          <w:sz w:val="22"/>
          <w:szCs w:val="22"/>
        </w:rPr>
      </w:pPr>
      <w:r w:rsidRPr="00F03EA0">
        <w:rPr>
          <w:rFonts w:ascii="Swis721 CE" w:hAnsi="Swis721 CE" w:cs="Helvetica"/>
          <w:sz w:val="22"/>
          <w:szCs w:val="22"/>
        </w:rPr>
        <w:t xml:space="preserve">1 ks </w:t>
      </w: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 xml:space="preserve">server splňující následující parametry: </w:t>
      </w:r>
    </w:p>
    <w:p w:rsidR="007C6162" w:rsidRPr="00F03EA0" w:rsidRDefault="007C6162" w:rsidP="007C6162">
      <w:pPr>
        <w:rPr>
          <w:rFonts w:ascii="Swis721 CE" w:hAnsi="Swis721 CE" w:cs="Helvetica"/>
          <w:sz w:val="22"/>
          <w:szCs w:val="22"/>
        </w:rPr>
      </w:pP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Rack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provedení o maximální výšce 4U a maximální hloubce </w:t>
      </w:r>
      <w:proofErr w:type="gram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85cm</w:t>
      </w:r>
      <w:proofErr w:type="gramEnd"/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bude osazena dvěma procesory x86, každý 32 jader s minimální frekvencí 2,5Ghz, minimálně L3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cache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288 MB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Součástí </w:t>
      </w: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bude operační paměť v minimální celkové velikosti 1TB DDR5-6400. Bude zachována možnost rozšíření paměti na dvojnásobek bez nutnosti výměny dodaných paměťových modulů.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bude osazen kartou optimalizovanou pro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boot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a provoz operačního systému o minimální velikosti 2x </w:t>
      </w:r>
      <w:proofErr w:type="gram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480GB</w:t>
      </w:r>
      <w:proofErr w:type="gram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NVMe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v RAID1 (RAID řadič musí být na kartě). Dále bude</w:t>
      </w:r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</w:t>
      </w: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osazen 4x disky pro data </w:t>
      </w:r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typu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NVMe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o minimální velikosti 3,84TB. Bude zachována možnost přidání dalších disků.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Ethernet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konektivita dvěma plně funkčními porty 10/25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Gb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SFP28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bude vybaven minimálně čtyřmi GPU akcelerátory. Celková GPU paměť serveru by měla dosahovat alespoň 512 GB HBM3 nebo HBM3E. GPU musí podporovat technologii CUDA. GPU akcelerátory musí být propojeny přímým 4 cestným rozhraním.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musí být </w:t>
      </w: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certifikovan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výrobcem GPU pro použití s dodávaným GPU.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musí umožňovat rozšíření o další GPU akcelerátory</w:t>
      </w:r>
    </w:p>
    <w:p w:rsidR="007C6162" w:rsidRPr="00F03EA0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hAnsi="Swis721 CE"/>
          <w:color w:val="000000"/>
          <w:sz w:val="22"/>
          <w:szCs w:val="22"/>
        </w:rPr>
      </w:pP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Dedikovaný 1Gb RJ45 port pro management </w:t>
      </w:r>
      <w:r>
        <w:rPr>
          <w:rFonts w:ascii="Swis721 CE" w:hAnsi="Swis721 CE" w:cs="Helvetica"/>
          <w:sz w:val="22"/>
          <w:szCs w:val="22"/>
        </w:rPr>
        <w:t xml:space="preserve">GPU </w:t>
      </w:r>
      <w:r w:rsidRPr="00F03EA0">
        <w:rPr>
          <w:rFonts w:ascii="Swis721 CE" w:hAnsi="Swis721 CE" w:cs="Helvetica"/>
          <w:sz w:val="22"/>
          <w:szCs w:val="22"/>
        </w:rPr>
        <w:t>server</w:t>
      </w:r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včetně nástrojů pro vzdálenou správu (monitoring, správa, konfigurace, virtuální KVM, mapování vzdálených médií, …)</w:t>
      </w:r>
    </w:p>
    <w:p w:rsidR="007C6162" w:rsidRPr="00A13363" w:rsidRDefault="007C6162" w:rsidP="007C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E" w:eastAsia="Helvetica Neue" w:hAnsi="Swis721 CE" w:cs="Helvetica Neue"/>
          <w:color w:val="000000"/>
          <w:sz w:val="22"/>
          <w:szCs w:val="22"/>
        </w:rPr>
      </w:pPr>
      <w:proofErr w:type="spell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Redundatní</w:t>
      </w:r>
      <w:proofErr w:type="spellEnd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napájecí zdroje s účinností minimálně </w:t>
      </w:r>
      <w:proofErr w:type="gramStart"/>
      <w:r w:rsidRPr="00F03EA0">
        <w:rPr>
          <w:rFonts w:ascii="Swis721 CE" w:eastAsia="Helvetica Neue" w:hAnsi="Swis721 CE" w:cs="Helvetica Neue"/>
          <w:color w:val="000000"/>
          <w:sz w:val="22"/>
          <w:szCs w:val="22"/>
        </w:rPr>
        <w:t>96%</w:t>
      </w:r>
      <w:proofErr w:type="gramEnd"/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v zatížení zdroje 50 %</w:t>
      </w:r>
    </w:p>
    <w:p w:rsidR="007C6162" w:rsidRDefault="007C6162" w:rsidP="007C6162">
      <w:pPr>
        <w:pStyle w:val="Odstavecseseznamem"/>
        <w:numPr>
          <w:ilvl w:val="0"/>
          <w:numId w:val="2"/>
        </w:numPr>
        <w:rPr>
          <w:rFonts w:ascii="Swis721 CE" w:eastAsia="Helvetica Neue" w:hAnsi="Swis721 CE" w:cs="Helvetica Neue"/>
          <w:color w:val="000000"/>
          <w:sz w:val="22"/>
          <w:szCs w:val="22"/>
        </w:rPr>
      </w:pPr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GPU Server musí být certifikovaný pro provoz </w:t>
      </w:r>
      <w:proofErr w:type="spellStart"/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>VMWare</w:t>
      </w:r>
      <w:proofErr w:type="spellEnd"/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</w:t>
      </w:r>
      <w:proofErr w:type="spellStart"/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>vSphere</w:t>
      </w:r>
      <w:proofErr w:type="spellEnd"/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8 a nabízené GPU</w:t>
      </w:r>
    </w:p>
    <w:p w:rsidR="007C6162" w:rsidRDefault="007C6162" w:rsidP="007C6162">
      <w:pPr>
        <w:pStyle w:val="Odstavecseseznamem"/>
        <w:numPr>
          <w:ilvl w:val="0"/>
          <w:numId w:val="2"/>
        </w:numPr>
        <w:rPr>
          <w:rFonts w:ascii="Swis721 CE" w:eastAsia="Helvetica Neue" w:hAnsi="Swis721 CE" w:cs="Helvetica Neue"/>
          <w:color w:val="000000"/>
          <w:sz w:val="22"/>
          <w:szCs w:val="22"/>
        </w:rPr>
      </w:pPr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Každý </w:t>
      </w:r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>GPU</w:t>
      </w:r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akcelerátor</w:t>
      </w:r>
      <w:r w:rsidRPr="004509D5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 </w:t>
      </w:r>
      <w:r>
        <w:rPr>
          <w:rFonts w:ascii="Swis721 CE" w:eastAsia="Helvetica Neue" w:hAnsi="Swis721 CE" w:cs="Helvetica Neue"/>
          <w:color w:val="000000"/>
          <w:sz w:val="22"/>
          <w:szCs w:val="22"/>
        </w:rPr>
        <w:t xml:space="preserve">v GPU serveru musí podporovat </w:t>
      </w:r>
      <w:r w:rsidRPr="002A70D1">
        <w:rPr>
          <w:rFonts w:ascii="Swis721 CE" w:eastAsia="Helvetica Neue" w:hAnsi="Swis721 CE" w:cs="Helvetica Neue"/>
          <w:color w:val="000000"/>
          <w:sz w:val="22"/>
          <w:szCs w:val="22"/>
        </w:rPr>
        <w:t xml:space="preserve">až 7 </w:t>
      </w:r>
      <w:proofErr w:type="spellStart"/>
      <w:r w:rsidRPr="002A70D1">
        <w:rPr>
          <w:rFonts w:ascii="Swis721 CE" w:eastAsia="Helvetica Neue" w:hAnsi="Swis721 CE" w:cs="Helvetica Neue"/>
          <w:color w:val="000000"/>
          <w:sz w:val="22"/>
          <w:szCs w:val="22"/>
        </w:rPr>
        <w:t>Multi</w:t>
      </w:r>
      <w:proofErr w:type="spellEnd"/>
      <w:r w:rsidRPr="002A70D1">
        <w:rPr>
          <w:rFonts w:ascii="Swis721 CE" w:eastAsia="Helvetica Neue" w:hAnsi="Swis721 CE" w:cs="Helvetica Neue"/>
          <w:color w:val="000000"/>
          <w:sz w:val="22"/>
          <w:szCs w:val="22"/>
        </w:rPr>
        <w:t>-Instance GPU (MIG)</w:t>
      </w:r>
    </w:p>
    <w:p w:rsidR="007C6162" w:rsidRPr="004509D5" w:rsidRDefault="007C6162" w:rsidP="007C6162">
      <w:pPr>
        <w:pStyle w:val="Odstavecseseznamem"/>
        <w:rPr>
          <w:rFonts w:ascii="Swis721 CE" w:eastAsia="Helvetica Neue" w:hAnsi="Swis721 CE" w:cs="Helvetica Neue"/>
          <w:color w:val="000000"/>
          <w:sz w:val="22"/>
          <w:szCs w:val="22"/>
        </w:rPr>
      </w:pPr>
    </w:p>
    <w:p w:rsidR="007C6162" w:rsidRPr="00F03EA0" w:rsidRDefault="007C6162" w:rsidP="007C6162">
      <w:pPr>
        <w:rPr>
          <w:rFonts w:ascii="Swis721 CE" w:eastAsiaTheme="minorHAnsi" w:hAnsi="Swis721 CE" w:cs="Helvetica"/>
          <w:color w:val="000000"/>
          <w:sz w:val="28"/>
          <w:szCs w:val="28"/>
          <w:lang w:eastAsia="en-US"/>
        </w:rPr>
      </w:pPr>
      <w:r w:rsidRPr="00F03EA0">
        <w:rPr>
          <w:rFonts w:ascii="Swis721 CE" w:hAnsi="Swis721 CE" w:cs="Helvetica"/>
          <w:sz w:val="28"/>
          <w:szCs w:val="28"/>
        </w:rPr>
        <w:br w:type="page"/>
      </w:r>
    </w:p>
    <w:p w:rsidR="007C6162" w:rsidRPr="00F03EA0" w:rsidRDefault="007C6162" w:rsidP="007C6162">
      <w:pPr>
        <w:pStyle w:val="3odrk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Swis721 CE" w:hAnsi="Swis721 CE" w:cs="Helvetica"/>
          <w:sz w:val="28"/>
          <w:szCs w:val="28"/>
        </w:rPr>
      </w:pPr>
      <w:r w:rsidRPr="00F03EA0">
        <w:rPr>
          <w:rFonts w:ascii="Swis721 CE" w:hAnsi="Swis721 CE" w:cs="Helvetica"/>
          <w:sz w:val="28"/>
          <w:szCs w:val="28"/>
        </w:rPr>
        <w:t>Sekce III – Nabídková cena</w:t>
      </w: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  <w:r w:rsidRPr="00F03EA0">
        <w:rPr>
          <w:rFonts w:ascii="Swis721 CE" w:hAnsi="Swis721 CE" w:cs="Helvetica"/>
          <w:szCs w:val="22"/>
        </w:rPr>
        <w:t xml:space="preserve">Dodavatel svým podpisem stvrzuje, že nabízené zařízení odpovídá požadovaným parametrům uvedeným v Sekci II </w:t>
      </w:r>
      <w:r>
        <w:rPr>
          <w:rFonts w:ascii="Swis721 CE" w:hAnsi="Swis721 CE" w:cs="Helvetica"/>
          <w:szCs w:val="22"/>
        </w:rPr>
        <w:t>Formuláře nabídky</w:t>
      </w:r>
      <w:r w:rsidRPr="00F03EA0">
        <w:rPr>
          <w:rFonts w:ascii="Swis721 CE" w:hAnsi="Swis721 CE" w:cs="Helvetica"/>
          <w:szCs w:val="22"/>
        </w:rPr>
        <w:t xml:space="preserve"> a že nabídková cena je stanovena jako celková nabídková cena za výše uvedený předmět plnění a obsahuje veškeré náklady na kompletní a kvalitní realizaci předmětu plnění včetně </w:t>
      </w:r>
      <w:r>
        <w:rPr>
          <w:rFonts w:ascii="Swis721 CE" w:hAnsi="Swis721 CE" w:cs="Helvetica"/>
          <w:szCs w:val="22"/>
        </w:rPr>
        <w:t xml:space="preserve">specifikovaného </w:t>
      </w:r>
      <w:r w:rsidRPr="00F03EA0">
        <w:rPr>
          <w:rFonts w:ascii="Swis721 CE" w:hAnsi="Swis721 CE" w:cs="Helvetica"/>
          <w:szCs w:val="22"/>
        </w:rPr>
        <w:t xml:space="preserve">záručního servisu po dobu 5 let a dalších souvisejících výkonů, které nejsou v nabídce výslovně uvedeny. </w:t>
      </w: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  <w:r w:rsidRPr="00F03EA0">
        <w:rPr>
          <w:rFonts w:ascii="Swis721 CE" w:hAnsi="Swis721 CE" w:cs="Helvetica"/>
          <w:szCs w:val="22"/>
        </w:rPr>
        <w:t>Dodavatel dále stvrzuje, že nabídková cena je stanovena jako maximální a akceptuje, že její překročení je nepřípustné.</w:t>
      </w: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b/>
          <w:sz w:val="28"/>
          <w:szCs w:val="28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b/>
          <w:sz w:val="28"/>
          <w:szCs w:val="28"/>
        </w:rPr>
      </w:pPr>
      <w:r w:rsidRPr="00F03EA0">
        <w:rPr>
          <w:rFonts w:ascii="Swis721 CE" w:hAnsi="Swis721 CE" w:cs="Helvetica"/>
          <w:b/>
          <w:sz w:val="28"/>
          <w:szCs w:val="28"/>
        </w:rPr>
        <w:t>Specifikace nabízeného předmětu plnění:</w:t>
      </w: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  <w:r w:rsidRPr="00F03EA0">
        <w:rPr>
          <w:rFonts w:ascii="Swis721 CE" w:hAnsi="Swis721 CE" w:cs="Helvetica"/>
          <w:b/>
          <w:sz w:val="28"/>
          <w:szCs w:val="28"/>
        </w:rPr>
        <w:t>Nabídková cena</w:t>
      </w:r>
      <w:r w:rsidRPr="00F03EA0">
        <w:rPr>
          <w:rFonts w:ascii="Swis721 CE" w:hAnsi="Swis721 CE" w:cs="Helvetica"/>
          <w:szCs w:val="22"/>
        </w:rPr>
        <w:t>:</w:t>
      </w: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center"/>
        <w:rPr>
          <w:rFonts w:ascii="Swis721 CE" w:hAnsi="Swis721 CE" w:cs="Helvetica"/>
          <w:szCs w:val="22"/>
        </w:rPr>
      </w:pPr>
    </w:p>
    <w:tbl>
      <w:tblPr>
        <w:tblW w:w="6520" w:type="dxa"/>
        <w:tblInd w:w="1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701"/>
        <w:gridCol w:w="2410"/>
      </w:tblGrid>
      <w:tr w:rsidR="007C6162" w:rsidRPr="00F03EA0" w:rsidTr="00F06B92">
        <w:trPr>
          <w:trHeight w:val="52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sz w:val="20"/>
                <w:szCs w:val="20"/>
              </w:rPr>
              <w:t>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sz w:val="20"/>
                <w:szCs w:val="20"/>
              </w:rPr>
              <w:t>DPH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sz w:val="20"/>
                <w:szCs w:val="20"/>
              </w:rPr>
            </w:pPr>
            <w:r w:rsidRPr="00F03EA0">
              <w:rPr>
                <w:rFonts w:ascii="Swis721 CE" w:hAnsi="Swis721 CE" w:cs="Helvetica"/>
                <w:sz w:val="20"/>
                <w:szCs w:val="20"/>
              </w:rPr>
              <w:t>Cena s DPH</w:t>
            </w:r>
          </w:p>
        </w:tc>
      </w:tr>
      <w:tr w:rsidR="007C6162" w:rsidRPr="00F03EA0" w:rsidTr="00F06B92">
        <w:trPr>
          <w:trHeight w:val="75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C6162" w:rsidRPr="00F03EA0" w:rsidRDefault="007C6162" w:rsidP="00F06B92">
            <w:pPr>
              <w:jc w:val="center"/>
              <w:rPr>
                <w:rFonts w:ascii="Swis721 CE" w:hAnsi="Swis721 CE" w:cs="Helvetica"/>
                <w:color w:val="000000"/>
              </w:rPr>
            </w:pPr>
          </w:p>
        </w:tc>
      </w:tr>
    </w:tbl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center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pStyle w:val="Basic"/>
        <w:tabs>
          <w:tab w:val="left" w:pos="900"/>
        </w:tabs>
        <w:spacing w:before="120"/>
        <w:jc w:val="both"/>
        <w:rPr>
          <w:rFonts w:ascii="Swis721 CE" w:hAnsi="Swis721 CE" w:cs="Helvetica"/>
          <w:szCs w:val="22"/>
        </w:rPr>
      </w:pPr>
    </w:p>
    <w:p w:rsidR="007C6162" w:rsidRPr="00F03EA0" w:rsidRDefault="007C6162" w:rsidP="007C6162">
      <w:pPr>
        <w:jc w:val="center"/>
        <w:rPr>
          <w:rFonts w:ascii="Swis721 CE" w:hAnsi="Swis721 CE" w:cs="Helvetica"/>
          <w:sz w:val="22"/>
          <w:szCs w:val="22"/>
        </w:rPr>
      </w:pPr>
      <w:r w:rsidRPr="00F03EA0">
        <w:rPr>
          <w:rFonts w:ascii="Swis721 CE" w:hAnsi="Swis721 CE" w:cs="Helvetica"/>
          <w:sz w:val="22"/>
          <w:szCs w:val="22"/>
        </w:rPr>
        <w:t>…………………………………….………………………………………………………………</w:t>
      </w:r>
    </w:p>
    <w:p w:rsidR="007C6162" w:rsidRDefault="007C6162" w:rsidP="007C6162">
      <w:pPr>
        <w:jc w:val="center"/>
        <w:rPr>
          <w:rFonts w:ascii="Swis721 CE" w:hAnsi="Swis721 CE" w:cs="Helvetica"/>
          <w:sz w:val="22"/>
          <w:szCs w:val="22"/>
        </w:rPr>
      </w:pPr>
      <w:r w:rsidRPr="00F03EA0">
        <w:rPr>
          <w:rFonts w:ascii="Swis721 CE" w:hAnsi="Swis721 CE" w:cs="Helvetica"/>
          <w:sz w:val="22"/>
          <w:szCs w:val="22"/>
        </w:rPr>
        <w:t>Podpis osoby oprávněné jednat za dodavatele</w:t>
      </w: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CE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E517F"/>
    <w:multiLevelType w:val="multilevel"/>
    <w:tmpl w:val="9000B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62"/>
    <w:rsid w:val="000524C4"/>
    <w:rsid w:val="007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CF0E-A631-45CF-B6AC-273A0F60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">
    <w:name w:val="Basic"/>
    <w:basedOn w:val="Normln"/>
    <w:link w:val="BasicChar"/>
    <w:uiPriority w:val="99"/>
    <w:rsid w:val="007C6162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7C6162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paragraph" w:styleId="Zkladntext">
    <w:name w:val="Body Text"/>
    <w:basedOn w:val="Normln"/>
    <w:link w:val="ZkladntextChar1"/>
    <w:uiPriority w:val="99"/>
    <w:rsid w:val="007C6162"/>
    <w:pPr>
      <w:spacing w:after="120"/>
    </w:pPr>
  </w:style>
  <w:style w:type="character" w:customStyle="1" w:styleId="ZkladntextChar">
    <w:name w:val="Základní text Char"/>
    <w:basedOn w:val="Standardnpsmoodstavce"/>
    <w:uiPriority w:val="99"/>
    <w:semiHidden/>
    <w:rsid w:val="007C61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Základní text Char Char"/>
    <w:basedOn w:val="Standardnpsmoodstavce"/>
    <w:link w:val="Zkladntext"/>
    <w:uiPriority w:val="99"/>
    <w:rsid w:val="007C61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C6162"/>
    <w:pPr>
      <w:ind w:left="720"/>
      <w:contextualSpacing/>
    </w:pPr>
  </w:style>
  <w:style w:type="character" w:customStyle="1" w:styleId="BasicChar">
    <w:name w:val="Basic Char"/>
    <w:basedOn w:val="Standardnpsmoodstavce"/>
    <w:link w:val="Basic"/>
    <w:uiPriority w:val="99"/>
    <w:rsid w:val="007C6162"/>
    <w:rPr>
      <w:rFonts w:ascii="Verdana" w:eastAsia="Times New Roman" w:hAnsi="Verdana" w:cs="Times New Roman"/>
      <w:szCs w:val="24"/>
      <w:lang w:eastAsia="cs-CZ"/>
    </w:rPr>
  </w:style>
  <w:style w:type="paragraph" w:customStyle="1" w:styleId="3odrky">
    <w:name w:val="3odrážky"/>
    <w:basedOn w:val="Normln"/>
    <w:uiPriority w:val="99"/>
    <w:rsid w:val="007C6162"/>
    <w:pPr>
      <w:numPr>
        <w:numId w:val="1"/>
      </w:numPr>
      <w:spacing w:before="120" w:after="240"/>
      <w:contextualSpacing/>
      <w:jc w:val="both"/>
    </w:pPr>
    <w:rPr>
      <w:rFonts w:ascii="Calibri" w:eastAsiaTheme="minorHAnsi" w:hAnsi="Calibri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7C616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2384</Characters>
  <Application>Microsoft Office Word</Application>
  <DocSecurity>0</DocSecurity>
  <Lines>62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1 – Formulář nabídky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2025-08-19T21:12:00Z</dcterms:created>
  <dcterms:modified xsi:type="dcterms:W3CDTF">2025-08-19T21:13:00Z</dcterms:modified>
</cp:coreProperties>
</file>