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545889">
        <w:tc>
          <w:tcPr>
            <w:tcW w:w="9203" w:type="dxa"/>
          </w:tcPr>
          <w:p w14:paraId="5DF46D7E" w14:textId="77777777" w:rsidR="00034C6A" w:rsidRDefault="00034C6A" w:rsidP="00545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545889">
        <w:trPr>
          <w:trHeight w:val="408"/>
        </w:trPr>
        <w:tc>
          <w:tcPr>
            <w:tcW w:w="9203" w:type="dxa"/>
          </w:tcPr>
          <w:p w14:paraId="38AA52E1" w14:textId="2253EDF7" w:rsidR="00034C6A" w:rsidRPr="00020CDC" w:rsidRDefault="009E4371" w:rsidP="007A056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VŠE </w:t>
            </w:r>
            <w:r w:rsidR="00A8735A">
              <w:rPr>
                <w:b/>
                <w:sz w:val="28"/>
                <w:szCs w:val="28"/>
              </w:rPr>
              <w:t>University hotel</w:t>
            </w:r>
            <w:r w:rsidR="006E3EC3">
              <w:rPr>
                <w:b/>
                <w:sz w:val="28"/>
                <w:szCs w:val="28"/>
              </w:rPr>
              <w:t xml:space="preserve"> - </w:t>
            </w:r>
            <w:r w:rsidR="007A056E">
              <w:rPr>
                <w:b/>
                <w:sz w:val="28"/>
                <w:szCs w:val="28"/>
              </w:rPr>
              <w:t>utěrky</w:t>
            </w:r>
            <w:bookmarkStart w:id="1" w:name="_GoBack"/>
            <w:bookmarkEnd w:id="1"/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545889">
            <w:r>
              <w:t>Veřejná zakázka zadávaná v DNS</w:t>
            </w:r>
          </w:p>
        </w:tc>
      </w:tr>
      <w:tr w:rsidR="00034C6A" w14:paraId="5E530BFC" w14:textId="77777777" w:rsidTr="00C4273D">
        <w:tc>
          <w:tcPr>
            <w:tcW w:w="3927" w:type="dxa"/>
          </w:tcPr>
          <w:p w14:paraId="1ACE72B3" w14:textId="77777777" w:rsidR="00034C6A" w:rsidRPr="002D24D8" w:rsidRDefault="00034C6A" w:rsidP="00545889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77777777" w:rsidR="00034C6A" w:rsidRPr="002D24D8" w:rsidRDefault="00034C6A" w:rsidP="00545889">
            <w:r w:rsidRPr="002D24D8">
              <w:t>Dynamický nákupní systém na dodávky textilu a lůžkovin</w:t>
            </w:r>
          </w:p>
        </w:tc>
      </w:tr>
      <w:tr w:rsidR="00034C6A" w14:paraId="3729C14E" w14:textId="77777777" w:rsidTr="00C4273D">
        <w:tc>
          <w:tcPr>
            <w:tcW w:w="3927" w:type="dxa"/>
          </w:tcPr>
          <w:p w14:paraId="32FFB543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77777777" w:rsidR="00034C6A" w:rsidRDefault="00034C6A" w:rsidP="00545889">
            <w:r>
              <w:t>Dodávky</w:t>
            </w:r>
          </w:p>
        </w:tc>
      </w:tr>
      <w:tr w:rsidR="00C4273D" w14:paraId="1DC13599" w14:textId="77777777" w:rsidTr="00CA4DD0">
        <w:tc>
          <w:tcPr>
            <w:tcW w:w="3927" w:type="dxa"/>
          </w:tcPr>
          <w:p w14:paraId="57E9A4DA" w14:textId="33F9D55E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2" w:name="_Hlk167181232"/>
        <w:tc>
          <w:tcPr>
            <w:tcW w:w="5135" w:type="dxa"/>
          </w:tcPr>
          <w:p w14:paraId="39661F08" w14:textId="7D55080E" w:rsidR="00C4273D" w:rsidRDefault="00C4273D" w:rsidP="00545889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2"/>
          </w:p>
        </w:tc>
      </w:tr>
      <w:tr w:rsidR="00C4273D" w14:paraId="20A4AB91" w14:textId="77777777" w:rsidTr="00CA4DD0">
        <w:tc>
          <w:tcPr>
            <w:tcW w:w="3927" w:type="dxa"/>
          </w:tcPr>
          <w:p w14:paraId="1831F132" w14:textId="1D4109B8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5293B576" w:rsidR="00C4273D" w:rsidRDefault="007A056E" w:rsidP="00545889">
            <w:hyperlink r:id="rId11" w:history="1">
              <w:r w:rsidR="00C4273D" w:rsidRPr="00BB687E">
                <w:rPr>
                  <w:rStyle w:val="Hypertextovodkaz"/>
                </w:rPr>
                <w:t>https://zakazky.vse.cz/dns_display_11.html</w:t>
              </w:r>
            </w:hyperlink>
            <w:r w:rsidR="00C4273D">
              <w:t xml:space="preserve"> </w:t>
            </w:r>
          </w:p>
        </w:tc>
      </w:tr>
      <w:tr w:rsidR="00C4273D" w14:paraId="7B700BFD" w14:textId="77777777" w:rsidTr="00CA4DD0">
        <w:tc>
          <w:tcPr>
            <w:tcW w:w="3927" w:type="dxa"/>
          </w:tcPr>
          <w:p w14:paraId="6856A6DA" w14:textId="25ED794D" w:rsidR="00C4273D" w:rsidRDefault="00C4273D" w:rsidP="00545889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660E84C2" w:rsidR="00C4273D" w:rsidRDefault="007A056E" w:rsidP="00545889">
            <w:r>
              <w:t>25</w:t>
            </w:r>
            <w:r w:rsidR="006E3EC3">
              <w:t>.</w:t>
            </w:r>
            <w:r>
              <w:t>06.</w:t>
            </w:r>
            <w:r w:rsidR="006E3EC3">
              <w:t>2025</w:t>
            </w:r>
          </w:p>
        </w:tc>
      </w:tr>
      <w:tr w:rsidR="00C4273D" w14:paraId="5DADCAE3" w14:textId="77777777" w:rsidTr="00CA4DD0">
        <w:tc>
          <w:tcPr>
            <w:tcW w:w="3927" w:type="dxa"/>
          </w:tcPr>
          <w:p w14:paraId="1488EAEA" w14:textId="659E691E" w:rsidR="00C4273D" w:rsidRPr="00604CBA" w:rsidRDefault="00C4273D" w:rsidP="00545889">
            <w:pPr>
              <w:rPr>
                <w:b/>
              </w:rPr>
            </w:pPr>
          </w:p>
        </w:tc>
        <w:tc>
          <w:tcPr>
            <w:tcW w:w="5135" w:type="dxa"/>
          </w:tcPr>
          <w:p w14:paraId="63A8CC2D" w14:textId="385604A5" w:rsidR="00C4273D" w:rsidRPr="00604CBA" w:rsidRDefault="00C4273D" w:rsidP="00545889"/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545889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545889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545889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545889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545889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545889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545889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545889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545889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545889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545889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545889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545889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1F3842F0" w14:textId="419866D1" w:rsidR="00034C6A" w:rsidRPr="005F5EC4" w:rsidRDefault="009E4371" w:rsidP="00545889">
            <w:pPr>
              <w:spacing w:after="0"/>
            </w:pPr>
            <w:r>
              <w:rPr>
                <w:rFonts w:eastAsia="Calibri" w:cs="Times New Roman"/>
              </w:rPr>
              <w:t>Bc. Lucie Smejkalová, Administrativní pracovník</w:t>
            </w:r>
          </w:p>
          <w:p w14:paraId="03C707F4" w14:textId="7D500682" w:rsidR="00034C6A" w:rsidRPr="005F5EC4" w:rsidRDefault="00034C6A" w:rsidP="00545889">
            <w:pPr>
              <w:spacing w:after="0"/>
            </w:pPr>
            <w:r w:rsidRPr="005F5EC4">
              <w:t>mobil:</w:t>
            </w:r>
            <w:r w:rsidRPr="005F5EC4">
              <w:tab/>
            </w:r>
            <w:r>
              <w:t xml:space="preserve"> </w:t>
            </w:r>
            <w:r w:rsidR="000F4F8C">
              <w:t>+420 </w:t>
            </w:r>
            <w:r w:rsidR="009E4371" w:rsidRPr="009E4371">
              <w:t>773 737 865</w:t>
            </w:r>
          </w:p>
          <w:p w14:paraId="0588CB73" w14:textId="519E3CF3" w:rsidR="00034C6A" w:rsidRPr="005F5EC4" w:rsidRDefault="00034C6A" w:rsidP="009E4371">
            <w:pPr>
              <w:spacing w:after="120"/>
            </w:pPr>
            <w:r w:rsidRPr="005F5EC4">
              <w:t>e-mail:</w:t>
            </w:r>
            <w:hyperlink r:id="rId13" w:history="1"/>
            <w:r w:rsidR="009E4371">
              <w:rPr>
                <w:rStyle w:val="Hypertextovodkaz"/>
              </w:rPr>
              <w:t xml:space="preserve"> lucie.smejkalova@vse.cz</w:t>
            </w:r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9CED" w14:textId="77777777" w:rsidR="00625DE0" w:rsidRDefault="00625DE0">
      <w:pPr>
        <w:spacing w:after="0"/>
      </w:pPr>
      <w:r>
        <w:separator/>
      </w:r>
    </w:p>
  </w:endnote>
  <w:endnote w:type="continuationSeparator" w:id="0">
    <w:p w14:paraId="437892B9" w14:textId="77777777" w:rsidR="00625DE0" w:rsidRDefault="00625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A221" w14:textId="77777777" w:rsidR="00625DE0" w:rsidRDefault="00625DE0">
      <w:pPr>
        <w:spacing w:after="0"/>
      </w:pPr>
      <w:r>
        <w:separator/>
      </w:r>
    </w:p>
  </w:footnote>
  <w:footnote w:type="continuationSeparator" w:id="0">
    <w:p w14:paraId="6F64EF51" w14:textId="77777777" w:rsidR="00625DE0" w:rsidRDefault="00625DE0">
      <w:pPr>
        <w:spacing w:after="0"/>
      </w:pPr>
      <w:r>
        <w:continuationSeparator/>
      </w:r>
    </w:p>
  </w:footnote>
  <w:footnote w:id="1">
    <w:p w14:paraId="3957E50A" w14:textId="73E32234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9"/>
    <w:rsid w:val="00032181"/>
    <w:rsid w:val="000345A5"/>
    <w:rsid w:val="00034C6A"/>
    <w:rsid w:val="000F4F8C"/>
    <w:rsid w:val="001522DA"/>
    <w:rsid w:val="00167EF6"/>
    <w:rsid w:val="0038529F"/>
    <w:rsid w:val="003C070C"/>
    <w:rsid w:val="004154E7"/>
    <w:rsid w:val="004B1E89"/>
    <w:rsid w:val="005B0224"/>
    <w:rsid w:val="005E2E41"/>
    <w:rsid w:val="00625DE0"/>
    <w:rsid w:val="00650E27"/>
    <w:rsid w:val="00664569"/>
    <w:rsid w:val="006E3EC3"/>
    <w:rsid w:val="00755F82"/>
    <w:rsid w:val="00775EA4"/>
    <w:rsid w:val="00783F17"/>
    <w:rsid w:val="007A056E"/>
    <w:rsid w:val="007A64E7"/>
    <w:rsid w:val="007D61B5"/>
    <w:rsid w:val="007E1B59"/>
    <w:rsid w:val="008A48B6"/>
    <w:rsid w:val="008D17C5"/>
    <w:rsid w:val="009049BF"/>
    <w:rsid w:val="00971322"/>
    <w:rsid w:val="009A1C09"/>
    <w:rsid w:val="009B2BAC"/>
    <w:rsid w:val="009E4371"/>
    <w:rsid w:val="009E78C7"/>
    <w:rsid w:val="00A8735A"/>
    <w:rsid w:val="00A91A92"/>
    <w:rsid w:val="00B55332"/>
    <w:rsid w:val="00BE5A56"/>
    <w:rsid w:val="00BF2001"/>
    <w:rsid w:val="00C4273D"/>
    <w:rsid w:val="00CB774E"/>
    <w:rsid w:val="00CE0E1A"/>
    <w:rsid w:val="00D026FF"/>
    <w:rsid w:val="00D2167A"/>
    <w:rsid w:val="00D83F1C"/>
    <w:rsid w:val="00E546DF"/>
    <w:rsid w:val="00E64E47"/>
    <w:rsid w:val="00E86653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ovar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9170C-1F27-44E3-ADBE-78EA407064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d28bfc-9201-4d68-9448-6211baf1e4c2"/>
    <ds:schemaRef ds:uri="3d4d72d6-24a8-407a-b229-5f63afbc851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15AF20-7620-420E-8CFE-E63A3111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Lucie Smejkalová</cp:lastModifiedBy>
  <cp:revision>182</cp:revision>
  <dcterms:created xsi:type="dcterms:W3CDTF">2023-12-19T09:48:00Z</dcterms:created>
  <dcterms:modified xsi:type="dcterms:W3CDTF">2025-06-24T10:22:00Z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