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A2" w:rsidRPr="005156AF" w:rsidRDefault="008B67A2" w:rsidP="008B67A2">
      <w:pPr>
        <w:pStyle w:val="Kapitola1"/>
        <w:shd w:val="clear" w:color="auto" w:fill="E6E6E6"/>
        <w:spacing w:before="120" w:after="240"/>
        <w:ind w:left="0" w:firstLine="0"/>
        <w:rPr>
          <w:rFonts w:ascii="Myriad Pro" w:hAnsi="Myriad Pro" w:cs="Helvetica"/>
        </w:rPr>
      </w:pPr>
      <w:bookmarkStart w:id="0" w:name="_Toc477274956"/>
      <w:bookmarkStart w:id="1" w:name="_Toc509234548"/>
      <w:r w:rsidRPr="005156AF">
        <w:rPr>
          <w:rFonts w:ascii="Myriad Pro" w:hAnsi="Myriad Pro" w:cs="Helvetica"/>
        </w:rPr>
        <w:t xml:space="preserve">Příloha č. 1 – </w:t>
      </w:r>
      <w:bookmarkEnd w:id="0"/>
      <w:r w:rsidRPr="005156AF">
        <w:rPr>
          <w:rFonts w:ascii="Myriad Pro" w:hAnsi="Myriad Pro" w:cs="Helvetica"/>
        </w:rPr>
        <w:t>Formulář nabídky</w:t>
      </w:r>
      <w:bookmarkEnd w:id="1"/>
    </w:p>
    <w:p w:rsidR="008B67A2" w:rsidRPr="005156AF" w:rsidRDefault="008B67A2" w:rsidP="008B67A2">
      <w:pPr>
        <w:jc w:val="center"/>
        <w:rPr>
          <w:rFonts w:ascii="Myriad Pro" w:hAnsi="Myriad Pro" w:cs="Helvetica"/>
          <w:sz w:val="28"/>
          <w:szCs w:val="28"/>
        </w:rPr>
      </w:pPr>
      <w:r w:rsidRPr="005156AF">
        <w:rPr>
          <w:rFonts w:ascii="Myriad Pro" w:hAnsi="Myriad Pro" w:cs="Helvetica"/>
          <w:sz w:val="28"/>
          <w:szCs w:val="28"/>
        </w:rPr>
        <w:t>Sekce I – Základní údaje nabídky</w:t>
      </w:r>
    </w:p>
    <w:p w:rsidR="008B67A2" w:rsidRPr="005156AF" w:rsidRDefault="008B67A2" w:rsidP="008B67A2">
      <w:pPr>
        <w:rPr>
          <w:rFonts w:ascii="Myriad Pro" w:hAnsi="Myriad Pro"/>
        </w:rPr>
      </w:pPr>
    </w:p>
    <w:tbl>
      <w:tblPr>
        <w:tblW w:w="904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5204"/>
      </w:tblGrid>
      <w:tr w:rsidR="008B67A2" w:rsidRPr="005156AF" w:rsidTr="00992A82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ACB9CA" w:themeFill="text2" w:themeFillTint="66"/>
            <w:noWrap/>
            <w:vAlign w:val="center"/>
          </w:tcPr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color w:val="ACB9CA" w:themeColor="text2" w:themeTint="66"/>
                <w:sz w:val="32"/>
                <w:szCs w:val="32"/>
              </w:rPr>
            </w:pPr>
            <w:r w:rsidRPr="005156AF">
              <w:rPr>
                <w:rFonts w:ascii="Myriad Pro" w:hAnsi="Myriad Pro" w:cs="Helvetica"/>
                <w:sz w:val="32"/>
                <w:szCs w:val="32"/>
              </w:rPr>
              <w:t>Veřejná zakázka</w:t>
            </w:r>
          </w:p>
        </w:tc>
      </w:tr>
      <w:tr w:rsidR="008B67A2" w:rsidRPr="005156AF" w:rsidTr="00992A82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color w:val="ACB9CA" w:themeColor="text2" w:themeTint="66"/>
                <w:sz w:val="40"/>
                <w:szCs w:val="40"/>
              </w:rPr>
            </w:pPr>
          </w:p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sz w:val="40"/>
                <w:szCs w:val="40"/>
              </w:rPr>
            </w:pPr>
            <w:r>
              <w:rPr>
                <w:rFonts w:ascii="Myriad Pro" w:hAnsi="Myriad Pro" w:cs="Helvetica"/>
                <w:sz w:val="40"/>
                <w:szCs w:val="40"/>
              </w:rPr>
              <w:t>Infrastruktura pro učebny – Diskové pole</w:t>
            </w:r>
          </w:p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sz w:val="28"/>
                <w:szCs w:val="28"/>
              </w:rPr>
            </w:pPr>
          </w:p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sz w:val="22"/>
                <w:szCs w:val="22"/>
              </w:rPr>
            </w:pPr>
            <w:r w:rsidRPr="005156AF">
              <w:rPr>
                <w:rFonts w:ascii="Myriad Pro" w:hAnsi="Myriad Pro" w:cs="Helvetica"/>
                <w:sz w:val="22"/>
                <w:szCs w:val="22"/>
              </w:rPr>
              <w:t xml:space="preserve">pro zadání veřejné zakázky na dodávky ve </w:t>
            </w:r>
          </w:p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sz w:val="28"/>
                <w:szCs w:val="28"/>
              </w:rPr>
            </w:pPr>
            <w:r w:rsidRPr="005156AF">
              <w:rPr>
                <w:rFonts w:ascii="Myriad Pro" w:hAnsi="Myriad Pro" w:cs="Helvetica"/>
                <w:b/>
                <w:sz w:val="22"/>
                <w:szCs w:val="22"/>
              </w:rPr>
              <w:t>z</w:t>
            </w:r>
            <w:r w:rsidRPr="005156AF">
              <w:rPr>
                <w:rFonts w:ascii="Myriad Pro" w:hAnsi="Myriad Pro" w:cs="Helvetica"/>
                <w:b/>
              </w:rPr>
              <w:t>jednodušeném podlimitním řízení</w:t>
            </w:r>
          </w:p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color w:val="ACB9CA" w:themeColor="text2" w:themeTint="66"/>
                <w:sz w:val="28"/>
                <w:szCs w:val="28"/>
              </w:rPr>
            </w:pPr>
          </w:p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color w:val="ACB9CA" w:themeColor="text2" w:themeTint="66"/>
                <w:sz w:val="28"/>
                <w:szCs w:val="28"/>
              </w:rPr>
            </w:pPr>
          </w:p>
        </w:tc>
      </w:tr>
      <w:tr w:rsidR="008B67A2" w:rsidRPr="005156AF" w:rsidTr="00992A82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ACB9CA" w:themeFill="text2" w:themeFillTint="66"/>
            <w:noWrap/>
            <w:vAlign w:val="center"/>
          </w:tcPr>
          <w:p w:rsidR="008B67A2" w:rsidRPr="005156AF" w:rsidRDefault="008B67A2" w:rsidP="00992A82">
            <w:pPr>
              <w:jc w:val="center"/>
              <w:rPr>
                <w:rFonts w:ascii="Myriad Pro" w:hAnsi="Myriad Pro" w:cs="Helvetica"/>
                <w:sz w:val="32"/>
                <w:szCs w:val="32"/>
              </w:rPr>
            </w:pPr>
            <w:r w:rsidRPr="005156AF">
              <w:rPr>
                <w:rFonts w:ascii="Myriad Pro" w:hAnsi="Myriad Pro" w:cs="Helvetica"/>
                <w:sz w:val="32"/>
                <w:szCs w:val="32"/>
              </w:rPr>
              <w:t>Nabídková cena</w:t>
            </w: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nil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sz w:val="20"/>
                <w:szCs w:val="20"/>
              </w:rPr>
              <w:t>Cena celkem bez DPH v Kč: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</w:rPr>
            </w:pP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sz w:val="20"/>
                <w:szCs w:val="20"/>
              </w:rPr>
              <w:t>Cena celkem s DPH v Kč: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</w:rPr>
            </w:pPr>
          </w:p>
        </w:tc>
      </w:tr>
    </w:tbl>
    <w:p w:rsidR="008B67A2" w:rsidRPr="005156AF" w:rsidRDefault="008B67A2" w:rsidP="008B67A2">
      <w:pPr>
        <w:jc w:val="center"/>
        <w:rPr>
          <w:rFonts w:ascii="Myriad Pro" w:hAnsi="Myriad Pro" w:cs="Helvetica"/>
        </w:rPr>
      </w:pPr>
    </w:p>
    <w:tbl>
      <w:tblPr>
        <w:tblW w:w="904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5204"/>
      </w:tblGrid>
      <w:tr w:rsidR="008B67A2" w:rsidRPr="005156AF" w:rsidTr="00992A82">
        <w:trPr>
          <w:trHeight w:val="721"/>
        </w:trPr>
        <w:tc>
          <w:tcPr>
            <w:tcW w:w="3843" w:type="dxa"/>
            <w:tcBorders>
              <w:top w:val="nil"/>
              <w:left w:val="single" w:sz="8" w:space="0" w:color="ACB9CA" w:themeColor="text2" w:themeTint="66"/>
              <w:right w:val="nil"/>
            </w:tcBorders>
            <w:shd w:val="clear" w:color="auto" w:fill="ACB9CA" w:themeFill="text2" w:themeFillTint="66"/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sz w:val="28"/>
                <w:szCs w:val="28"/>
              </w:rPr>
            </w:pPr>
            <w:r w:rsidRPr="005156AF">
              <w:rPr>
                <w:rFonts w:ascii="Myriad Pro" w:hAnsi="Myriad Pro" w:cs="Helvetica"/>
                <w:sz w:val="28"/>
                <w:szCs w:val="28"/>
              </w:rPr>
              <w:t>Účastník zadávacího řízení:</w:t>
            </w:r>
          </w:p>
        </w:tc>
        <w:tc>
          <w:tcPr>
            <w:tcW w:w="5204" w:type="dxa"/>
            <w:tcBorders>
              <w:top w:val="nil"/>
              <w:left w:val="nil"/>
              <w:right w:val="single" w:sz="8" w:space="0" w:color="ACB9CA" w:themeColor="text2" w:themeTint="66"/>
            </w:tcBorders>
            <w:shd w:val="clear" w:color="auto" w:fill="ACB9CA" w:themeFill="text2" w:themeFillTint="66"/>
            <w:noWrap/>
            <w:vAlign w:val="bottom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sz w:val="28"/>
                <w:szCs w:val="28"/>
              </w:rPr>
            </w:pPr>
            <w:r w:rsidRPr="005156AF">
              <w:rPr>
                <w:rFonts w:ascii="Myriad Pro" w:hAnsi="Myriad Pro" w:cs="Helvetica"/>
                <w:sz w:val="28"/>
                <w:szCs w:val="28"/>
              </w:rPr>
              <w:t> </w:t>
            </w: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nil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color w:val="000000"/>
                <w:sz w:val="20"/>
                <w:szCs w:val="20"/>
              </w:rPr>
              <w:t>Právní forma: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  <w:color w:val="000000"/>
              </w:rPr>
            </w:pP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  <w:color w:val="000000"/>
              </w:rPr>
            </w:pP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color w:val="000000"/>
                <w:sz w:val="20"/>
                <w:szCs w:val="20"/>
              </w:rPr>
              <w:t>Adresa sídla: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  <w:color w:val="000000"/>
              </w:rPr>
            </w:pP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color w:val="000000"/>
                <w:sz w:val="20"/>
                <w:szCs w:val="20"/>
              </w:rPr>
              <w:t>Osoba oprávněná jednat za účastníka zadávacího řízení: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  <w:color w:val="000000"/>
              </w:rPr>
            </w:pP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  <w:color w:val="000000"/>
              </w:rPr>
            </w:pPr>
          </w:p>
        </w:tc>
      </w:tr>
      <w:tr w:rsidR="008B67A2" w:rsidRPr="005156AF" w:rsidTr="00992A82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8B67A2" w:rsidRPr="005156AF" w:rsidRDefault="008B67A2" w:rsidP="00992A82">
            <w:pPr>
              <w:jc w:val="right"/>
              <w:rPr>
                <w:rFonts w:ascii="Myriad Pro" w:hAnsi="Myriad Pro" w:cs="Helvetica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 w:cs="Helvetica"/>
                <w:color w:val="000000"/>
                <w:sz w:val="20"/>
                <w:szCs w:val="20"/>
              </w:rPr>
              <w:t>ID datové schránky: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 w:cs="Helvetica"/>
                <w:color w:val="000000"/>
              </w:rPr>
            </w:pPr>
          </w:p>
        </w:tc>
      </w:tr>
    </w:tbl>
    <w:p w:rsidR="008B67A2" w:rsidRPr="005156AF" w:rsidRDefault="008B67A2" w:rsidP="008B67A2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Myriad Pro" w:hAnsi="Myriad Pro" w:cs="Helvetica"/>
        </w:rPr>
      </w:pPr>
    </w:p>
    <w:p w:rsidR="008B67A2" w:rsidRPr="005156AF" w:rsidRDefault="008B67A2" w:rsidP="008B67A2">
      <w:pPr>
        <w:rPr>
          <w:rFonts w:ascii="Myriad Pro" w:eastAsiaTheme="minorHAnsi" w:hAnsi="Myriad Pro" w:cs="Helvetica"/>
          <w:color w:val="000000"/>
          <w:sz w:val="22"/>
          <w:szCs w:val="22"/>
          <w:lang w:eastAsia="en-US"/>
        </w:rPr>
      </w:pPr>
      <w:r w:rsidRPr="005156AF">
        <w:rPr>
          <w:rFonts w:ascii="Myriad Pro" w:hAnsi="Myriad Pro" w:cs="Helvetica"/>
        </w:rPr>
        <w:br w:type="page"/>
      </w:r>
    </w:p>
    <w:p w:rsidR="008B67A2" w:rsidRPr="005156AF" w:rsidRDefault="008B67A2" w:rsidP="008B67A2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Myriad Pro" w:hAnsi="Myriad Pro" w:cs="Helvetica"/>
          <w:sz w:val="28"/>
          <w:szCs w:val="28"/>
        </w:rPr>
      </w:pPr>
      <w:r w:rsidRPr="005156AF">
        <w:rPr>
          <w:rFonts w:ascii="Myriad Pro" w:hAnsi="Myriad Pro" w:cs="Helvetica"/>
          <w:sz w:val="28"/>
          <w:szCs w:val="28"/>
        </w:rPr>
        <w:lastRenderedPageBreak/>
        <w:t>Sekce II - Specifikace předmětu plnění</w:t>
      </w:r>
    </w:p>
    <w:p w:rsidR="008B67A2" w:rsidRDefault="008B67A2" w:rsidP="008B67A2">
      <w:pPr>
        <w:rPr>
          <w:rFonts w:ascii="Myriad Pro" w:hAnsi="Myriad Pro" w:cs="Helvetica"/>
          <w:sz w:val="22"/>
          <w:szCs w:val="22"/>
        </w:rPr>
      </w:pPr>
      <w:r w:rsidRPr="007B03EB">
        <w:rPr>
          <w:rFonts w:ascii="Myriad Pro" w:hAnsi="Myriad Pro" w:cs="Helvetica"/>
          <w:szCs w:val="22"/>
        </w:rPr>
        <w:t xml:space="preserve">Předmětem plnění je dodávka nového diskového </w:t>
      </w:r>
      <w:proofErr w:type="spellStart"/>
      <w:r w:rsidRPr="007B03EB">
        <w:rPr>
          <w:rFonts w:ascii="Myriad Pro" w:hAnsi="Myriad Pro" w:cs="Helvetica"/>
          <w:szCs w:val="22"/>
        </w:rPr>
        <w:t>deduplikačního</w:t>
      </w:r>
      <w:proofErr w:type="spellEnd"/>
      <w:r w:rsidRPr="007B03EB">
        <w:rPr>
          <w:rFonts w:ascii="Myriad Pro" w:hAnsi="Myriad Pro" w:cs="Helvetica"/>
          <w:szCs w:val="22"/>
        </w:rPr>
        <w:t xml:space="preserve"> zálohovacího úložiště, určeného pro stávající zálohovací systém a dodávka potřebného programového vybavení pro integraci se stávajícím zálohovacím systémem Dell/EMC </w:t>
      </w:r>
      <w:proofErr w:type="spellStart"/>
      <w:r w:rsidRPr="007B03EB">
        <w:rPr>
          <w:rFonts w:ascii="Myriad Pro" w:hAnsi="Myriad Pro" w:cs="Helvetica"/>
          <w:szCs w:val="22"/>
        </w:rPr>
        <w:t>NetWorker</w:t>
      </w:r>
      <w:proofErr w:type="spellEnd"/>
      <w:r w:rsidRPr="007B03EB">
        <w:rPr>
          <w:rFonts w:ascii="Myriad Pro" w:hAnsi="Myriad Pro" w:cs="Helvetica"/>
          <w:szCs w:val="22"/>
        </w:rPr>
        <w:t>.</w:t>
      </w:r>
      <w:r w:rsidRPr="00901E9B">
        <w:rPr>
          <w:rFonts w:ascii="Myriad Pro" w:hAnsi="Myriad Pro" w:cs="Helvetica"/>
          <w:sz w:val="22"/>
          <w:szCs w:val="22"/>
        </w:rPr>
        <w:t xml:space="preserve"> </w:t>
      </w:r>
    </w:p>
    <w:p w:rsidR="008B67A2" w:rsidRDefault="008B67A2" w:rsidP="008B67A2">
      <w:pPr>
        <w:rPr>
          <w:rFonts w:ascii="Myriad Pro" w:hAnsi="Myriad Pro" w:cs="Helvetica"/>
          <w:sz w:val="22"/>
          <w:szCs w:val="22"/>
        </w:rPr>
      </w:pPr>
    </w:p>
    <w:p w:rsidR="008B67A2" w:rsidRPr="00901E9B" w:rsidRDefault="008B67A2" w:rsidP="008B67A2">
      <w:pPr>
        <w:rPr>
          <w:rFonts w:ascii="Myriad Pro" w:hAnsi="Myriad Pro" w:cs="Helvetica"/>
          <w:b/>
          <w:sz w:val="22"/>
          <w:szCs w:val="22"/>
        </w:rPr>
      </w:pPr>
      <w:r w:rsidRPr="00901E9B">
        <w:rPr>
          <w:rFonts w:ascii="Myriad Pro" w:hAnsi="Myriad Pro" w:cs="Helvetica"/>
          <w:b/>
          <w:sz w:val="22"/>
          <w:szCs w:val="22"/>
        </w:rPr>
        <w:t xml:space="preserve">Zadavatel požaduje splnění následujících parametrů. </w:t>
      </w:r>
    </w:p>
    <w:p w:rsidR="008B67A2" w:rsidRPr="007B03EB" w:rsidRDefault="008B67A2" w:rsidP="008B67A2">
      <w:pPr>
        <w:rPr>
          <w:rFonts w:ascii="Myriad Pro" w:hAnsi="Myriad Pro" w:cs="Helvetica"/>
          <w:sz w:val="22"/>
          <w:szCs w:val="22"/>
        </w:rPr>
      </w:pPr>
      <w:r>
        <w:rPr>
          <w:rFonts w:ascii="Myriad Pro" w:hAnsi="Myriad Pro" w:cs="Helvetica"/>
          <w:sz w:val="22"/>
          <w:szCs w:val="22"/>
        </w:rPr>
        <w:t xml:space="preserve">Dodavatel deklaruje splnění každého požadovaného parametru ve sloupci „ANO/NE“ uvedení ANO, případně NE dle skutečnosti. Dodavatel dále uvede popis naplnění příslušného parametru. </w:t>
      </w:r>
    </w:p>
    <w:p w:rsidR="008B67A2" w:rsidRPr="007B03EB" w:rsidRDefault="008B67A2" w:rsidP="008B67A2">
      <w:pPr>
        <w:tabs>
          <w:tab w:val="left" w:pos="1620"/>
        </w:tabs>
        <w:spacing w:before="240"/>
        <w:rPr>
          <w:rFonts w:ascii="Myriad Pro Black" w:hAnsi="Myriad Pro Black" w:cs="Helvetica"/>
          <w:sz w:val="28"/>
          <w:szCs w:val="28"/>
        </w:rPr>
      </w:pPr>
      <w:bookmarkStart w:id="2" w:name="_Toc507575213"/>
      <w:r w:rsidRPr="007B03EB">
        <w:rPr>
          <w:rFonts w:ascii="Myriad Pro Black" w:hAnsi="Myriad Pro Black" w:cs="Helvetica"/>
          <w:sz w:val="28"/>
          <w:szCs w:val="28"/>
        </w:rPr>
        <w:t>Technická specifikace</w:t>
      </w:r>
      <w:bookmarkEnd w:id="2"/>
    </w:p>
    <w:p w:rsidR="008B67A2" w:rsidRPr="007B03EB" w:rsidRDefault="008B67A2" w:rsidP="008B67A2">
      <w:pPr>
        <w:pStyle w:val="Basic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Myriad Pro SemiCond" w:hAnsi="Myriad Pro SemiCond" w:cs="Helvetica"/>
          <w:i/>
          <w:sz w:val="24"/>
        </w:rPr>
      </w:pPr>
      <w:bookmarkStart w:id="3" w:name="_Toc507575214"/>
      <w:r w:rsidRPr="007B03EB">
        <w:rPr>
          <w:rFonts w:ascii="Myriad Pro SemiCond" w:hAnsi="Myriad Pro SemiCond" w:cs="Helvetica"/>
          <w:i/>
          <w:sz w:val="24"/>
        </w:rPr>
        <w:t xml:space="preserve">Dodávka nového </w:t>
      </w:r>
      <w:proofErr w:type="spellStart"/>
      <w:r w:rsidRPr="007B03EB">
        <w:rPr>
          <w:rFonts w:ascii="Myriad Pro SemiCond" w:hAnsi="Myriad Pro SemiCond" w:cs="Helvetica"/>
          <w:i/>
          <w:sz w:val="24"/>
        </w:rPr>
        <w:t>deduplikačního</w:t>
      </w:r>
      <w:proofErr w:type="spellEnd"/>
      <w:r w:rsidRPr="007B03EB">
        <w:rPr>
          <w:rFonts w:ascii="Myriad Pro SemiCond" w:hAnsi="Myriad Pro SemiCond" w:cs="Helvetica"/>
          <w:i/>
          <w:sz w:val="24"/>
        </w:rPr>
        <w:t xml:space="preserve"> úložiště</w:t>
      </w:r>
      <w:bookmarkEnd w:id="3"/>
    </w:p>
    <w:p w:rsidR="008B67A2" w:rsidRPr="00F066DB" w:rsidRDefault="008B67A2" w:rsidP="008B67A2">
      <w:pPr>
        <w:pStyle w:val="Nadpis3"/>
        <w:keepLines/>
        <w:numPr>
          <w:ilvl w:val="2"/>
          <w:numId w:val="0"/>
        </w:numPr>
        <w:spacing w:before="200" w:after="0" w:line="276" w:lineRule="auto"/>
        <w:ind w:left="720" w:hanging="720"/>
      </w:pPr>
      <w:bookmarkStart w:id="4" w:name="_Toc507575215"/>
      <w:bookmarkStart w:id="5" w:name="_Toc509234549"/>
      <w:r w:rsidRPr="00F066DB">
        <w:t xml:space="preserve">Výkon a </w:t>
      </w:r>
      <w:r w:rsidRPr="00CE22ED">
        <w:t>škálovatelnost</w:t>
      </w:r>
      <w:bookmarkEnd w:id="4"/>
      <w:bookmarkEnd w:id="5"/>
    </w:p>
    <w:tbl>
      <w:tblPr>
        <w:tblStyle w:val="GridTable4-Accent11"/>
        <w:tblW w:w="9067" w:type="dxa"/>
        <w:tblLayout w:type="fixed"/>
        <w:tblLook w:val="0420" w:firstRow="1" w:lastRow="0" w:firstColumn="0" w:lastColumn="0" w:noHBand="0" w:noVBand="1"/>
      </w:tblPr>
      <w:tblGrid>
        <w:gridCol w:w="4604"/>
        <w:gridCol w:w="778"/>
        <w:gridCol w:w="3685"/>
      </w:tblGrid>
      <w:tr w:rsidR="008B67A2" w:rsidRPr="00F066DB" w:rsidTr="0099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04" w:type="dxa"/>
            <w:vAlign w:val="center"/>
          </w:tcPr>
          <w:p w:rsidR="008B67A2" w:rsidRPr="00F066DB" w:rsidRDefault="008B67A2" w:rsidP="00992A82">
            <w:pPr>
              <w:jc w:val="center"/>
            </w:pPr>
            <w:r w:rsidRPr="00F066DB">
              <w:t>Požadovaný parametr</w:t>
            </w:r>
          </w:p>
        </w:tc>
        <w:tc>
          <w:tcPr>
            <w:tcW w:w="778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ANO/NE</w:t>
            </w:r>
          </w:p>
        </w:tc>
        <w:tc>
          <w:tcPr>
            <w:tcW w:w="3685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Popis</w:t>
            </w: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>
              <w:t>1</w:t>
            </w:r>
            <w:r w:rsidRPr="00F066DB">
              <w:t xml:space="preserve"> ks </w:t>
            </w:r>
            <w:proofErr w:type="spellStart"/>
            <w:r w:rsidRPr="00F066DB">
              <w:t>deduplikačního</w:t>
            </w:r>
            <w:proofErr w:type="spellEnd"/>
            <w:r w:rsidRPr="00F066DB">
              <w:t xml:space="preserve"> diskového úložiště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700A47" w:rsidRDefault="008B67A2" w:rsidP="00992A82">
            <w:r w:rsidRPr="00700A47">
              <w:rPr>
                <w:bCs/>
              </w:rPr>
              <w:t xml:space="preserve">diskové úložiště musí disponovat alespoň 101TB čisté využitelné kapacity (kapacita bez započtení účinků </w:t>
            </w:r>
            <w:proofErr w:type="spellStart"/>
            <w:r w:rsidRPr="00700A47">
              <w:rPr>
                <w:bCs/>
              </w:rPr>
              <w:t>deduplikace</w:t>
            </w:r>
            <w:proofErr w:type="spellEnd"/>
            <w:r w:rsidRPr="00700A47">
              <w:rPr>
                <w:bCs/>
              </w:rPr>
              <w:t>, která je dostupná pro uložení dat a lze ji zkontrolovat prostřednictvím management nástrojů)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>
            <w:pPr>
              <w:ind w:right="3646"/>
            </w:pP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diskové úložiště musí umožnit rozšiřování </w:t>
            </w:r>
            <w:r>
              <w:t>minimálně do 25</w:t>
            </w:r>
            <w:r w:rsidRPr="00F066DB">
              <w:t xml:space="preserve">0 </w:t>
            </w:r>
            <w:proofErr w:type="spellStart"/>
            <w:r w:rsidRPr="00F066DB">
              <w:t>T</w:t>
            </w:r>
            <w:r>
              <w:t>i</w:t>
            </w:r>
            <w:r w:rsidRPr="00F066DB">
              <w:t>B</w:t>
            </w:r>
            <w:proofErr w:type="spellEnd"/>
            <w:r w:rsidRPr="00F066DB">
              <w:t xml:space="preserve"> čisté kapacity</w:t>
            </w:r>
            <w:r>
              <w:t>, bez změny řadiče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>m</w:t>
            </w:r>
            <w:r>
              <w:t>inimální propustnost pro zápis 30</w:t>
            </w:r>
            <w:r w:rsidRPr="00F066DB">
              <w:t xml:space="preserve"> TB/h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m</w:t>
            </w:r>
            <w:r>
              <w:t>inimální propustnost pro čtení 12</w:t>
            </w:r>
            <w:r w:rsidRPr="00F066DB">
              <w:t xml:space="preserve"> TB/h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podpora až </w:t>
            </w:r>
            <w:r>
              <w:t>400</w:t>
            </w:r>
            <w:r w:rsidRPr="00F066DB">
              <w:t xml:space="preserve"> konkurenčních zálohovacích úloh per fyzický systém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>
              <w:t>SAS disky pro zálohovaná data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>
              <w:t xml:space="preserve">SSD disky pro akceleraci zálohovaných </w:t>
            </w:r>
            <w:proofErr w:type="spellStart"/>
            <w:r>
              <w:t>metadat</w:t>
            </w:r>
            <w:proofErr w:type="spellEnd"/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zařízení musí při ukládání dat využívat princip in-line </w:t>
            </w:r>
            <w:proofErr w:type="spellStart"/>
            <w:r w:rsidRPr="00F066DB">
              <w:t>deduplikace</w:t>
            </w:r>
            <w:proofErr w:type="spellEnd"/>
            <w:r w:rsidRPr="00F066DB">
              <w:t xml:space="preserve"> na cíli na principu variabilní délky bloku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>architektura diskové</w:t>
            </w:r>
            <w:r>
              <w:t>ho</w:t>
            </w:r>
            <w:r w:rsidRPr="00F066DB">
              <w:t xml:space="preserve"> úložiště musí pro </w:t>
            </w:r>
            <w:proofErr w:type="spellStart"/>
            <w:r w:rsidRPr="00F066DB">
              <w:t>deduplikace</w:t>
            </w:r>
            <w:proofErr w:type="spellEnd"/>
            <w:r w:rsidRPr="00F066DB">
              <w:t xml:space="preserve"> využívat procesorový výkon a nesmí být závislá na počtu a typu </w:t>
            </w:r>
            <w:proofErr w:type="spellStart"/>
            <w:r w:rsidRPr="00F066DB">
              <w:t>backendových</w:t>
            </w:r>
            <w:proofErr w:type="spellEnd"/>
            <w:r w:rsidRPr="00F066DB">
              <w:t xml:space="preserve"> disků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lastRenderedPageBreak/>
              <w:t xml:space="preserve">zálohovací diskové úložiště musí konsolidovat a centralizovat zálohovací prostředí (lokální i vzdálené) – všechna data budou </w:t>
            </w:r>
            <w:proofErr w:type="spellStart"/>
            <w:r w:rsidRPr="00F066DB">
              <w:t>deduplikována</w:t>
            </w:r>
            <w:proofErr w:type="spellEnd"/>
            <w:r w:rsidRPr="00F066DB">
              <w:t xml:space="preserve"> v rámci jednoho boxu (žádné separátní množiny </w:t>
            </w:r>
            <w:proofErr w:type="spellStart"/>
            <w:r w:rsidRPr="00F066DB">
              <w:t>deduplikovaných</w:t>
            </w:r>
            <w:proofErr w:type="spellEnd"/>
            <w:r w:rsidRPr="00F066DB">
              <w:t xml:space="preserve"> úložišť)</w:t>
            </w:r>
          </w:p>
        </w:tc>
        <w:tc>
          <w:tcPr>
            <w:tcW w:w="778" w:type="dxa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2E2AEF">
              <w:t>zálohovací diskové úložiště musí disponovat síťovou konektivitou min. 4x NIC 10/1GbE metalické a 4x NIC 10GbE SFP+</w:t>
            </w:r>
          </w:p>
        </w:tc>
        <w:tc>
          <w:tcPr>
            <w:tcW w:w="778" w:type="dxa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2E2AEF" w:rsidRDefault="008B67A2" w:rsidP="00992A82">
            <w:r>
              <w:t>výška dodávaného zařízení max. 7U (</w:t>
            </w:r>
            <w:proofErr w:type="spellStart"/>
            <w:r>
              <w:t>rack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  <w:r>
              <w:t>)</w:t>
            </w:r>
          </w:p>
        </w:tc>
        <w:tc>
          <w:tcPr>
            <w:tcW w:w="778" w:type="dxa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</w:tbl>
    <w:p w:rsidR="008B67A2" w:rsidRPr="00F066DB" w:rsidRDefault="008B67A2" w:rsidP="008B67A2">
      <w:pPr>
        <w:pStyle w:val="Titulek"/>
      </w:pPr>
      <w:bookmarkStart w:id="6" w:name="_Toc468206010"/>
      <w:r w:rsidRPr="00F066DB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F066DB">
        <w:rPr>
          <w:noProof/>
        </w:rPr>
        <w:t>1</w:t>
      </w:r>
      <w:r>
        <w:rPr>
          <w:noProof/>
        </w:rPr>
        <w:fldChar w:fldCharType="end"/>
      </w:r>
      <w:r w:rsidRPr="00F066DB">
        <w:t>: Parametry pro výkon a škálovatelnost</w:t>
      </w:r>
      <w:bookmarkEnd w:id="6"/>
    </w:p>
    <w:p w:rsidR="008B67A2" w:rsidRPr="00F066DB" w:rsidRDefault="008B67A2" w:rsidP="008B67A2">
      <w:pPr>
        <w:pStyle w:val="Nadpis3"/>
        <w:keepLines/>
        <w:numPr>
          <w:ilvl w:val="2"/>
          <w:numId w:val="0"/>
        </w:numPr>
        <w:spacing w:before="200" w:after="0" w:line="276" w:lineRule="auto"/>
        <w:ind w:left="720" w:hanging="720"/>
      </w:pPr>
      <w:bookmarkStart w:id="7" w:name="_Toc507575216"/>
      <w:bookmarkStart w:id="8" w:name="_Toc509234550"/>
      <w:r w:rsidRPr="00F066DB">
        <w:t>Integrace a interoperabilita</w:t>
      </w:r>
      <w:bookmarkEnd w:id="7"/>
      <w:bookmarkEnd w:id="8"/>
    </w:p>
    <w:tbl>
      <w:tblPr>
        <w:tblStyle w:val="GridTable4-Accent11"/>
        <w:tblW w:w="9067" w:type="dxa"/>
        <w:tblLayout w:type="fixed"/>
        <w:tblLook w:val="0420" w:firstRow="1" w:lastRow="0" w:firstColumn="0" w:lastColumn="0" w:noHBand="0" w:noVBand="1"/>
      </w:tblPr>
      <w:tblGrid>
        <w:gridCol w:w="4604"/>
        <w:gridCol w:w="778"/>
        <w:gridCol w:w="3685"/>
      </w:tblGrid>
      <w:tr w:rsidR="008B67A2" w:rsidRPr="00F066DB" w:rsidTr="0099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04" w:type="dxa"/>
            <w:vAlign w:val="center"/>
          </w:tcPr>
          <w:p w:rsidR="008B67A2" w:rsidRPr="00F066DB" w:rsidRDefault="008B67A2" w:rsidP="00992A82">
            <w:pPr>
              <w:jc w:val="center"/>
            </w:pPr>
            <w:r w:rsidRPr="00F066DB">
              <w:t>Požadovaný parametr</w:t>
            </w:r>
          </w:p>
        </w:tc>
        <w:tc>
          <w:tcPr>
            <w:tcW w:w="778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ANO/NE</w:t>
            </w:r>
          </w:p>
        </w:tc>
        <w:tc>
          <w:tcPr>
            <w:tcW w:w="3685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Popis</w:t>
            </w: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zařízení musí podporovat minimálně následující protokoly: CIFS, NFS, VTL, FC; a musí umožnit jejich současné použití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zálohovací diskové úložiště musí být univerzální z hlediska podpory datových typů zálohovaných dat, musí podporovat všechny datové typy, používané v produkčním prostředí – </w:t>
            </w:r>
            <w:r>
              <w:t>souborové služby</w:t>
            </w:r>
            <w:r w:rsidRPr="00F066DB">
              <w:t xml:space="preserve">, databáze, emaily, </w:t>
            </w:r>
            <w:proofErr w:type="spellStart"/>
            <w:r w:rsidRPr="00F066DB">
              <w:t>VMware</w:t>
            </w:r>
            <w:proofErr w:type="spellEnd"/>
            <w:r w:rsidRPr="00F066DB">
              <w:t xml:space="preserve">, </w:t>
            </w:r>
            <w:proofErr w:type="spellStart"/>
            <w:r w:rsidRPr="00F066DB">
              <w:t>Oracle</w:t>
            </w:r>
            <w:proofErr w:type="spellEnd"/>
            <w:r w:rsidRPr="00F066DB">
              <w:t>, MS Exchange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zálohovací diskové úložiště musí být použitelné jako neprodukční NAS systém (</w:t>
            </w:r>
            <w:proofErr w:type="spellStart"/>
            <w:r w:rsidRPr="00F066DB">
              <w:t>file</w:t>
            </w:r>
            <w:proofErr w:type="spellEnd"/>
            <w:r w:rsidRPr="00F066DB">
              <w:t xml:space="preserve"> server) pro PST soubory a </w:t>
            </w:r>
            <w:proofErr w:type="spellStart"/>
            <w:r w:rsidRPr="00F066DB">
              <w:t>Home</w:t>
            </w:r>
            <w:proofErr w:type="spellEnd"/>
            <w:r w:rsidRPr="00F066DB">
              <w:t xml:space="preserve"> adresáře, a další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proofErr w:type="spellStart"/>
            <w:r w:rsidRPr="00F066DB">
              <w:t>deduplikace</w:t>
            </w:r>
            <w:proofErr w:type="spellEnd"/>
            <w:r w:rsidRPr="00F066DB">
              <w:t xml:space="preserve"> musí být prováděna přes celé zálohovací prostředí – jak přes všechny aplikace, tak přes cílová úložiště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0D0EEA">
              <w:t>zařízení musí umožnit zachování stávajíc</w:t>
            </w:r>
            <w:r>
              <w:t xml:space="preserve">ího zálohovacího systému (tedy </w:t>
            </w:r>
            <w:r w:rsidRPr="000D0EEA">
              <w:t xml:space="preserve">současnou podporu aplikací, platforem a protokolů bez nutnosti změny instalované infrastruktury, jako např. nutnost výměny zálohovacího </w:t>
            </w:r>
            <w:r w:rsidRPr="000D0EEA">
              <w:lastRenderedPageBreak/>
              <w:t>SW, změny topologie sítě, omezení zálohování apod.)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diskové úložiště musí být kompatibilní se standardem </w:t>
            </w:r>
            <w:proofErr w:type="spellStart"/>
            <w:r w:rsidRPr="00F066DB">
              <w:t>OpenStorage</w:t>
            </w:r>
            <w:proofErr w:type="spellEnd"/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umožnit ukládat data i pro archivní účely s funkcionalitou nastavení retenčních politik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365129">
              <w:t>diskové úložiště musí podporovat zálohu VMDK přes NAS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být certifikováno podle SEC 17a-4f nebo ekvivalentní evropské nebo české normy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diskové úložiště musí umožnit případnou distribuci </w:t>
            </w:r>
            <w:proofErr w:type="spellStart"/>
            <w:r w:rsidRPr="00F066DB">
              <w:t>deduplikačního</w:t>
            </w:r>
            <w:proofErr w:type="spellEnd"/>
            <w:r w:rsidRPr="00F066DB">
              <w:t xml:space="preserve"> algoritmu z cílového (</w:t>
            </w:r>
            <w:proofErr w:type="spellStart"/>
            <w:r w:rsidRPr="00F066DB">
              <w:t>deduplikačního</w:t>
            </w:r>
            <w:proofErr w:type="spellEnd"/>
            <w:r w:rsidRPr="00F066DB">
              <w:t xml:space="preserve"> úložiště) na zdrojové zařízení (</w:t>
            </w:r>
            <w:proofErr w:type="spellStart"/>
            <w:r w:rsidRPr="00F066DB">
              <w:t>backup</w:t>
            </w:r>
            <w:proofErr w:type="spellEnd"/>
            <w:r w:rsidRPr="00F066DB">
              <w:t xml:space="preserve"> klienta nebo </w:t>
            </w:r>
            <w:proofErr w:type="spellStart"/>
            <w:r w:rsidRPr="00F066DB">
              <w:t>backup</w:t>
            </w:r>
            <w:proofErr w:type="spellEnd"/>
            <w:r w:rsidRPr="00F066DB">
              <w:t xml:space="preserve"> server) </w:t>
            </w:r>
            <w:r>
              <w:t xml:space="preserve">pro zálohovací sw Dell/EMC </w:t>
            </w:r>
            <w:proofErr w:type="spellStart"/>
            <w:r>
              <w:t>Networker</w:t>
            </w:r>
            <w:proofErr w:type="spellEnd"/>
            <w:r>
              <w:t xml:space="preserve"> </w:t>
            </w:r>
            <w:r w:rsidRPr="00F066DB">
              <w:t>z důvodu výkonu a škálovatelnosti prostředí a z důvodu úspor na slabých datových linkách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diskové úložiště musí disponovat funkcí </w:t>
            </w:r>
            <w:proofErr w:type="spellStart"/>
            <w:r w:rsidRPr="00F066DB">
              <w:t>multitenancy</w:t>
            </w:r>
            <w:proofErr w:type="spellEnd"/>
            <w:r w:rsidRPr="00F066DB">
              <w:t xml:space="preserve"> (umožnit logické dělení diskového prostoru pro různé skupiny uživatelů s právy pouze na tyto logické jednotky s možností definice </w:t>
            </w:r>
            <w:proofErr w:type="spellStart"/>
            <w:r w:rsidRPr="00F066DB">
              <w:t>tenant</w:t>
            </w:r>
            <w:proofErr w:type="spellEnd"/>
            <w:r w:rsidRPr="00F066DB">
              <w:t xml:space="preserve"> </w:t>
            </w:r>
            <w:proofErr w:type="spellStart"/>
            <w:r w:rsidRPr="00F066DB">
              <w:t>administrator</w:t>
            </w:r>
            <w:proofErr w:type="spellEnd"/>
            <w:r w:rsidRPr="00F066DB">
              <w:t>)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diskové úložiště musí poskytovat stejné výsledky </w:t>
            </w:r>
            <w:proofErr w:type="spellStart"/>
            <w:r w:rsidRPr="00F066DB">
              <w:t>deduplikace</w:t>
            </w:r>
            <w:proofErr w:type="spellEnd"/>
            <w:r w:rsidRPr="00F066DB">
              <w:t xml:space="preserve"> zálohy </w:t>
            </w:r>
            <w:proofErr w:type="spellStart"/>
            <w:r w:rsidRPr="00F066DB">
              <w:t>Oracle</w:t>
            </w:r>
            <w:proofErr w:type="spellEnd"/>
            <w:r w:rsidRPr="00F066DB">
              <w:t xml:space="preserve"> prostředí bez ohledu na </w:t>
            </w:r>
            <w:proofErr w:type="spellStart"/>
            <w:r w:rsidRPr="00F066DB">
              <w:t>Oracle</w:t>
            </w:r>
            <w:proofErr w:type="spellEnd"/>
            <w:r w:rsidRPr="00F066DB">
              <w:t xml:space="preserve"> </w:t>
            </w:r>
            <w:proofErr w:type="spellStart"/>
            <w:r w:rsidRPr="00F066DB">
              <w:t>multiplexing</w:t>
            </w:r>
            <w:proofErr w:type="spellEnd"/>
          </w:p>
        </w:tc>
        <w:tc>
          <w:tcPr>
            <w:tcW w:w="778" w:type="dxa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365129">
              <w:t>zařízení musí um</w:t>
            </w:r>
            <w:r>
              <w:t xml:space="preserve">ožnit rychlou a snadnou tvorbu </w:t>
            </w:r>
            <w:r w:rsidRPr="00365129">
              <w:t xml:space="preserve"> </w:t>
            </w:r>
            <w:proofErr w:type="spellStart"/>
            <w:r w:rsidRPr="00365129">
              <w:t>snapů</w:t>
            </w:r>
            <w:proofErr w:type="spellEnd"/>
            <w:r w:rsidRPr="00365129">
              <w:t xml:space="preserve"> zálohovaných dat pro potřeby testování scénářů pro D/R</w:t>
            </w:r>
          </w:p>
        </w:tc>
        <w:tc>
          <w:tcPr>
            <w:tcW w:w="778" w:type="dxa"/>
          </w:tcPr>
          <w:p w:rsidR="008B67A2" w:rsidRDefault="008B67A2" w:rsidP="00992A82">
            <w:pPr>
              <w:keepNext/>
            </w:pPr>
          </w:p>
          <w:p w:rsidR="008B67A2" w:rsidRDefault="008B67A2" w:rsidP="00992A82">
            <w:pPr>
              <w:keepNext/>
            </w:pPr>
          </w:p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Default="008B67A2" w:rsidP="00992A82">
            <w:pPr>
              <w:keepNext/>
            </w:pPr>
          </w:p>
        </w:tc>
      </w:tr>
      <w:tr w:rsidR="008B67A2" w:rsidRPr="00F066DB" w:rsidTr="00992A82">
        <w:tc>
          <w:tcPr>
            <w:tcW w:w="4604" w:type="dxa"/>
          </w:tcPr>
          <w:p w:rsidR="008B67A2" w:rsidRPr="00985BCA" w:rsidRDefault="008B67A2" w:rsidP="00992A82">
            <w:pPr>
              <w:spacing w:before="100" w:beforeAutospacing="1" w:after="100" w:afterAutospacing="1"/>
              <w:rPr>
                <w:rFonts w:cstheme="minorHAnsi"/>
              </w:rPr>
            </w:pPr>
            <w:proofErr w:type="spellStart"/>
            <w:r w:rsidRPr="00985BCA">
              <w:rPr>
                <w:rFonts w:cstheme="minorHAnsi"/>
                <w:lang w:val="en-US"/>
              </w:rPr>
              <w:t>úložiště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musí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podporovat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deduplikaci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dat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na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zdroji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v </w:t>
            </w:r>
            <w:proofErr w:type="spellStart"/>
            <w:r w:rsidRPr="00985BCA">
              <w:rPr>
                <w:rFonts w:cstheme="minorHAnsi"/>
                <w:lang w:val="en-US"/>
              </w:rPr>
              <w:t>prostředí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zálohovacího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software </w:t>
            </w:r>
            <w:r>
              <w:rPr>
                <w:rFonts w:cstheme="minorHAnsi"/>
                <w:lang w:val="en-US"/>
              </w:rPr>
              <w:t xml:space="preserve">Dell/EMC </w:t>
            </w:r>
            <w:r w:rsidRPr="00985BCA">
              <w:rPr>
                <w:rFonts w:cstheme="minorHAnsi"/>
                <w:lang w:val="en-US"/>
              </w:rPr>
              <w:t>Networker</w:t>
            </w:r>
          </w:p>
        </w:tc>
        <w:tc>
          <w:tcPr>
            <w:tcW w:w="778" w:type="dxa"/>
          </w:tcPr>
          <w:p w:rsidR="008B67A2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Default="008B67A2" w:rsidP="00992A82">
            <w:pPr>
              <w:keepNext/>
            </w:pP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985BCA" w:rsidRDefault="008B67A2" w:rsidP="00992A82">
            <w:pPr>
              <w:spacing w:before="100" w:beforeAutospacing="1" w:after="100" w:afterAutospacing="1"/>
              <w:rPr>
                <w:rFonts w:cstheme="minorHAnsi"/>
              </w:rPr>
            </w:pPr>
            <w:proofErr w:type="spellStart"/>
            <w:r w:rsidRPr="00985BCA">
              <w:rPr>
                <w:rFonts w:cstheme="minorHAnsi"/>
                <w:lang w:val="en-US"/>
              </w:rPr>
              <w:t>úložiště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musí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podporovat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image </w:t>
            </w:r>
            <w:proofErr w:type="spellStart"/>
            <w:r w:rsidRPr="00985BCA">
              <w:rPr>
                <w:rFonts w:cstheme="minorHAnsi"/>
                <w:lang w:val="en-US"/>
              </w:rPr>
              <w:t>zálohy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VMWare 6.5 prostřednictvím </w:t>
            </w:r>
            <w:proofErr w:type="spellStart"/>
            <w:r w:rsidRPr="00985BCA">
              <w:rPr>
                <w:rFonts w:cstheme="minorHAnsi"/>
                <w:lang w:val="en-US"/>
              </w:rPr>
              <w:t>zálohovacího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software </w:t>
            </w:r>
            <w:r>
              <w:rPr>
                <w:rFonts w:cstheme="minorHAnsi"/>
                <w:lang w:val="en-US"/>
              </w:rPr>
              <w:t xml:space="preserve">Dell/EMC </w:t>
            </w:r>
            <w:r w:rsidRPr="00985BCA">
              <w:rPr>
                <w:rFonts w:cstheme="minorHAnsi"/>
                <w:lang w:val="en-US"/>
              </w:rPr>
              <w:t xml:space="preserve">Networker </w:t>
            </w:r>
            <w:proofErr w:type="spellStart"/>
            <w:r w:rsidRPr="00985BCA">
              <w:rPr>
                <w:rFonts w:cstheme="minorHAnsi"/>
                <w:lang w:val="en-US"/>
              </w:rPr>
              <w:t>verze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9</w:t>
            </w:r>
          </w:p>
        </w:tc>
        <w:tc>
          <w:tcPr>
            <w:tcW w:w="778" w:type="dxa"/>
          </w:tcPr>
          <w:p w:rsidR="008B67A2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Default="008B67A2" w:rsidP="00992A82">
            <w:pPr>
              <w:keepNext/>
            </w:pPr>
          </w:p>
        </w:tc>
      </w:tr>
      <w:tr w:rsidR="008B67A2" w:rsidRPr="00F066DB" w:rsidTr="00992A82">
        <w:tc>
          <w:tcPr>
            <w:tcW w:w="4604" w:type="dxa"/>
          </w:tcPr>
          <w:p w:rsidR="008B67A2" w:rsidRPr="00985BCA" w:rsidRDefault="008B67A2" w:rsidP="00992A82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proofErr w:type="spellStart"/>
            <w:r w:rsidRPr="00985BCA">
              <w:rPr>
                <w:rFonts w:cstheme="minorHAnsi"/>
                <w:lang w:val="en-US"/>
              </w:rPr>
              <w:lastRenderedPageBreak/>
              <w:t>úložiště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musí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85BCA">
              <w:rPr>
                <w:rFonts w:cstheme="minorHAnsi"/>
                <w:lang w:val="en-US"/>
              </w:rPr>
              <w:t>podporovat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Instant recovery VMWare image </w:t>
            </w:r>
            <w:proofErr w:type="spellStart"/>
            <w:r w:rsidRPr="00985BCA">
              <w:rPr>
                <w:rFonts w:cstheme="minorHAnsi"/>
                <w:lang w:val="en-US"/>
              </w:rPr>
              <w:t>záloh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v </w:t>
            </w:r>
            <w:proofErr w:type="spellStart"/>
            <w:r w:rsidRPr="00985BCA">
              <w:rPr>
                <w:rFonts w:cstheme="minorHAnsi"/>
                <w:lang w:val="en-US"/>
              </w:rPr>
              <w:t>prostředí</w:t>
            </w:r>
            <w:proofErr w:type="spellEnd"/>
            <w:r w:rsidRPr="00985BC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Dell/EMC </w:t>
            </w:r>
            <w:r w:rsidRPr="00985BCA">
              <w:rPr>
                <w:rFonts w:cstheme="minorHAnsi"/>
                <w:lang w:val="en-US"/>
              </w:rPr>
              <w:t>Networker</w:t>
            </w:r>
          </w:p>
        </w:tc>
        <w:tc>
          <w:tcPr>
            <w:tcW w:w="778" w:type="dxa"/>
          </w:tcPr>
          <w:p w:rsidR="008B67A2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Default="008B67A2" w:rsidP="00992A82">
            <w:pPr>
              <w:keepNext/>
            </w:pPr>
          </w:p>
        </w:tc>
      </w:tr>
    </w:tbl>
    <w:p w:rsidR="008B67A2" w:rsidRPr="00F066DB" w:rsidRDefault="008B67A2" w:rsidP="008B67A2">
      <w:pPr>
        <w:pStyle w:val="Titulek"/>
      </w:pPr>
      <w:bookmarkStart w:id="9" w:name="_Toc468206011"/>
      <w:r w:rsidRPr="00F066DB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F066DB">
        <w:rPr>
          <w:noProof/>
        </w:rPr>
        <w:t>2</w:t>
      </w:r>
      <w:r>
        <w:rPr>
          <w:noProof/>
        </w:rPr>
        <w:fldChar w:fldCharType="end"/>
      </w:r>
      <w:r w:rsidRPr="00F066DB">
        <w:t>: Parametry pro integraci a interoperabilitu</w:t>
      </w:r>
      <w:bookmarkEnd w:id="9"/>
    </w:p>
    <w:p w:rsidR="008B67A2" w:rsidRPr="00F066DB" w:rsidRDefault="008B67A2" w:rsidP="008B67A2">
      <w:pPr>
        <w:pStyle w:val="Nadpis3"/>
        <w:keepLines/>
        <w:numPr>
          <w:ilvl w:val="2"/>
          <w:numId w:val="0"/>
        </w:numPr>
        <w:spacing w:before="200" w:after="0" w:line="276" w:lineRule="auto"/>
        <w:ind w:left="720" w:hanging="720"/>
      </w:pPr>
      <w:bookmarkStart w:id="10" w:name="_Toc507575217"/>
      <w:bookmarkStart w:id="11" w:name="_Toc509234551"/>
      <w:r w:rsidRPr="00F066DB">
        <w:t>Replikace</w:t>
      </w:r>
      <w:bookmarkEnd w:id="10"/>
      <w:bookmarkEnd w:id="11"/>
    </w:p>
    <w:p w:rsidR="008B67A2" w:rsidRPr="00F066DB" w:rsidRDefault="008B67A2" w:rsidP="008B67A2">
      <w:r w:rsidRPr="00901E9B">
        <w:rPr>
          <w:rFonts w:ascii="Myriad Pro" w:hAnsi="Myriad Pro" w:cs="Helvetica"/>
          <w:sz w:val="22"/>
          <w:szCs w:val="22"/>
        </w:rPr>
        <w:t xml:space="preserve">Požadujeme, aby zařízení splňovalo podmínky umožňující replikaci pro budoucí nasazení </w:t>
      </w:r>
      <w:proofErr w:type="spellStart"/>
      <w:r w:rsidRPr="00901E9B">
        <w:rPr>
          <w:rFonts w:ascii="Myriad Pro" w:hAnsi="Myriad Pro" w:cs="Helvetica"/>
          <w:sz w:val="22"/>
          <w:szCs w:val="22"/>
        </w:rPr>
        <w:t>Disaster</w:t>
      </w:r>
      <w:proofErr w:type="spellEnd"/>
      <w:r w:rsidRPr="00901E9B">
        <w:rPr>
          <w:rFonts w:ascii="Myriad Pro" w:hAnsi="Myriad Pro" w:cs="Helvetica"/>
          <w:sz w:val="22"/>
          <w:szCs w:val="22"/>
        </w:rPr>
        <w:t xml:space="preserve"> </w:t>
      </w:r>
      <w:proofErr w:type="spellStart"/>
      <w:r w:rsidRPr="00901E9B">
        <w:rPr>
          <w:rFonts w:ascii="Myriad Pro" w:hAnsi="Myriad Pro" w:cs="Helvetica"/>
          <w:sz w:val="22"/>
          <w:szCs w:val="22"/>
        </w:rPr>
        <w:t>Recovery</w:t>
      </w:r>
      <w:proofErr w:type="spellEnd"/>
      <w:r w:rsidRPr="00901E9B">
        <w:rPr>
          <w:rFonts w:ascii="Myriad Pro" w:hAnsi="Myriad Pro" w:cs="Helvetica"/>
          <w:sz w:val="22"/>
          <w:szCs w:val="22"/>
        </w:rPr>
        <w:t xml:space="preserve"> (DR). Licence pro replikaci nejsou předmětem této dodávky.</w:t>
      </w:r>
    </w:p>
    <w:tbl>
      <w:tblPr>
        <w:tblStyle w:val="GridTable4-Accent11"/>
        <w:tblW w:w="9067" w:type="dxa"/>
        <w:tblLayout w:type="fixed"/>
        <w:tblLook w:val="0420" w:firstRow="1" w:lastRow="0" w:firstColumn="0" w:lastColumn="0" w:noHBand="0" w:noVBand="1"/>
      </w:tblPr>
      <w:tblGrid>
        <w:gridCol w:w="4604"/>
        <w:gridCol w:w="778"/>
        <w:gridCol w:w="3685"/>
      </w:tblGrid>
      <w:tr w:rsidR="008B67A2" w:rsidRPr="00F066DB" w:rsidTr="0099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04" w:type="dxa"/>
            <w:vAlign w:val="center"/>
          </w:tcPr>
          <w:p w:rsidR="008B67A2" w:rsidRPr="00F066DB" w:rsidRDefault="008B67A2" w:rsidP="00992A82">
            <w:pPr>
              <w:jc w:val="center"/>
            </w:pPr>
            <w:r w:rsidRPr="00F066DB">
              <w:t>Požadovaný parametr</w:t>
            </w:r>
          </w:p>
        </w:tc>
        <w:tc>
          <w:tcPr>
            <w:tcW w:w="778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ANO/NE</w:t>
            </w:r>
          </w:p>
        </w:tc>
        <w:tc>
          <w:tcPr>
            <w:tcW w:w="3685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Popis</w:t>
            </w: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365129">
              <w:t>diskové úložiště musí být rozšiřitelné o možnost replikace do záložní lokality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diskové úložiště musí posílat pouze </w:t>
            </w:r>
            <w:proofErr w:type="spellStart"/>
            <w:r w:rsidRPr="00F066DB">
              <w:t>deduplikovaná</w:t>
            </w:r>
            <w:proofErr w:type="spellEnd"/>
            <w:r w:rsidRPr="00F066DB">
              <w:t xml:space="preserve"> zkomprimovaná data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podporovat alespoň následující scénáře pro replikaci: 1:1, M:1 a kaskádovou replikaci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>replikaci musí být možno spustit ve stejném čase jako zálohu bez dopadu na výkon zálohy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umožnit řízení replikace v prostředí zálohovacího SW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umožnit funkcionalitu šifrování replikačního toku data-in-</w:t>
            </w:r>
            <w:proofErr w:type="spellStart"/>
            <w:r w:rsidRPr="00F066DB">
              <w:t>flight</w:t>
            </w:r>
            <w:proofErr w:type="spellEnd"/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365129" w:rsidRDefault="008B67A2" w:rsidP="00992A82">
            <w:r w:rsidRPr="00365129">
              <w:t>diskové úložiště musí umožnit kontrolu a správu využití pásma pro přenos dat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365129" w:rsidRDefault="008B67A2" w:rsidP="00992A82">
            <w:r w:rsidRPr="00365129">
              <w:t>diskové úložiště musí podporovat jak IPv4, tak IPv6 protokoly současně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</w:tbl>
    <w:p w:rsidR="008B67A2" w:rsidRPr="00F066DB" w:rsidRDefault="008B67A2" w:rsidP="008B67A2">
      <w:pPr>
        <w:pStyle w:val="Titulek"/>
      </w:pPr>
      <w:bookmarkStart w:id="12" w:name="_Toc468206012"/>
      <w:r w:rsidRPr="00F066DB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F066DB">
        <w:rPr>
          <w:noProof/>
        </w:rPr>
        <w:t>3</w:t>
      </w:r>
      <w:r>
        <w:rPr>
          <w:noProof/>
        </w:rPr>
        <w:fldChar w:fldCharType="end"/>
      </w:r>
      <w:r w:rsidRPr="00F066DB">
        <w:t>: Parametry pro replikaci</w:t>
      </w:r>
      <w:bookmarkEnd w:id="12"/>
    </w:p>
    <w:p w:rsidR="008B67A2" w:rsidRPr="00F066DB" w:rsidRDefault="008B67A2" w:rsidP="008B67A2">
      <w:pPr>
        <w:pStyle w:val="Nadpis3"/>
        <w:keepLines/>
        <w:numPr>
          <w:ilvl w:val="2"/>
          <w:numId w:val="0"/>
        </w:numPr>
        <w:spacing w:before="200" w:after="0" w:line="276" w:lineRule="auto"/>
        <w:ind w:left="720" w:hanging="720"/>
      </w:pPr>
      <w:bookmarkStart w:id="13" w:name="_Toc507575218"/>
      <w:bookmarkStart w:id="14" w:name="_Toc509234552"/>
      <w:r w:rsidRPr="00F066DB">
        <w:t>Spolehlivost, ochrana a obnova</w:t>
      </w:r>
      <w:bookmarkEnd w:id="13"/>
      <w:bookmarkEnd w:id="14"/>
    </w:p>
    <w:tbl>
      <w:tblPr>
        <w:tblStyle w:val="GridTable4-Accent11"/>
        <w:tblW w:w="9067" w:type="dxa"/>
        <w:tblLayout w:type="fixed"/>
        <w:tblLook w:val="0420" w:firstRow="1" w:lastRow="0" w:firstColumn="0" w:lastColumn="0" w:noHBand="0" w:noVBand="1"/>
      </w:tblPr>
      <w:tblGrid>
        <w:gridCol w:w="4604"/>
        <w:gridCol w:w="778"/>
        <w:gridCol w:w="3685"/>
      </w:tblGrid>
      <w:tr w:rsidR="008B67A2" w:rsidRPr="00F066DB" w:rsidTr="0099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04" w:type="dxa"/>
            <w:vAlign w:val="center"/>
          </w:tcPr>
          <w:p w:rsidR="008B67A2" w:rsidRPr="00F066DB" w:rsidRDefault="008B67A2" w:rsidP="00992A82">
            <w:pPr>
              <w:jc w:val="center"/>
            </w:pPr>
            <w:r w:rsidRPr="00F066DB">
              <w:t>Požadovaný parametr</w:t>
            </w:r>
          </w:p>
        </w:tc>
        <w:tc>
          <w:tcPr>
            <w:tcW w:w="778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ANO/NE</w:t>
            </w:r>
          </w:p>
        </w:tc>
        <w:tc>
          <w:tcPr>
            <w:tcW w:w="3685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Popis</w:t>
            </w: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zařízení musí disponovat interním algoritmem pro </w:t>
            </w:r>
            <w:r>
              <w:t>průběžnou</w:t>
            </w:r>
            <w:r w:rsidRPr="00F066DB">
              <w:t xml:space="preserve"> kontrolu zdraví uložených dat a v případě poškození </w:t>
            </w:r>
            <w:r>
              <w:t>jejich automatickou obnovu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365129">
              <w:t>zařízení musí zajišťovat ochranu dat alespoň na úrovni duální diskové parity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zařízení musí obnovovat data vždy z </w:t>
            </w:r>
            <w:proofErr w:type="spellStart"/>
            <w:r w:rsidRPr="00F066DB">
              <w:t>deduplikovaného</w:t>
            </w:r>
            <w:proofErr w:type="spellEnd"/>
            <w:r w:rsidRPr="00F066DB">
              <w:t xml:space="preserve"> a komprimovaného stavu, </w:t>
            </w:r>
            <w:r w:rsidRPr="00F066DB">
              <w:lastRenderedPageBreak/>
              <w:t xml:space="preserve">není přípustný mezikrok (např. externí disková </w:t>
            </w:r>
            <w:proofErr w:type="spellStart"/>
            <w:r w:rsidRPr="00F066DB">
              <w:t>cache</w:t>
            </w:r>
            <w:proofErr w:type="spellEnd"/>
            <w:r w:rsidRPr="00F066DB">
              <w:t>)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zařízení musí </w:t>
            </w:r>
            <w:r>
              <w:t>být rozšiřitelné o funkcionalitu</w:t>
            </w:r>
            <w:r w:rsidRPr="00F066DB">
              <w:t xml:space="preserve"> pro šifrování ukládaných data metodou data-</w:t>
            </w:r>
            <w:proofErr w:type="spellStart"/>
            <w:r w:rsidRPr="00F066DB">
              <w:t>at</w:t>
            </w:r>
            <w:proofErr w:type="spellEnd"/>
            <w:r w:rsidRPr="00F066DB">
              <w:t>-rest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zařízení musí umožnit </w:t>
            </w:r>
            <w:proofErr w:type="spellStart"/>
            <w:r w:rsidRPr="00F066DB">
              <w:t>shreding</w:t>
            </w:r>
            <w:proofErr w:type="spellEnd"/>
            <w:r w:rsidRPr="00F066DB">
              <w:t xml:space="preserve"> smazaných dat – tedy vícenásobný přepis smazaných bloků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zařízení musí obsahovat </w:t>
            </w:r>
            <w:proofErr w:type="spellStart"/>
            <w:r w:rsidRPr="00F066DB">
              <w:t>HotSpare</w:t>
            </w:r>
            <w:proofErr w:type="spellEnd"/>
            <w:r w:rsidRPr="00F066DB">
              <w:t xml:space="preserve"> disky</w:t>
            </w:r>
            <w:r>
              <w:t xml:space="preserve"> minimálně v počtu doporučeném výrobcem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zařízení musí obsahovat kompletní verifikace dat – okamžitá verifikace záloh a kontrola integrity právě ukládaných dat</w:t>
            </w:r>
          </w:p>
        </w:tc>
        <w:tc>
          <w:tcPr>
            <w:tcW w:w="778" w:type="dxa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</w:tbl>
    <w:p w:rsidR="008B67A2" w:rsidRPr="00F066DB" w:rsidRDefault="008B67A2" w:rsidP="008B67A2">
      <w:pPr>
        <w:pStyle w:val="Titulek"/>
      </w:pPr>
      <w:bookmarkStart w:id="15" w:name="_Toc468206013"/>
      <w:r w:rsidRPr="00F066DB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F066DB">
        <w:rPr>
          <w:noProof/>
        </w:rPr>
        <w:t>4</w:t>
      </w:r>
      <w:r>
        <w:rPr>
          <w:noProof/>
        </w:rPr>
        <w:fldChar w:fldCharType="end"/>
      </w:r>
      <w:r w:rsidRPr="00F066DB">
        <w:t>: Parametry pro spolehlivost a ochranu</w:t>
      </w:r>
      <w:bookmarkEnd w:id="15"/>
    </w:p>
    <w:p w:rsidR="008B67A2" w:rsidRPr="00F066DB" w:rsidRDefault="008B67A2" w:rsidP="008B67A2">
      <w:pPr>
        <w:pStyle w:val="Nadpis3"/>
        <w:keepLines/>
        <w:numPr>
          <w:ilvl w:val="2"/>
          <w:numId w:val="0"/>
        </w:numPr>
        <w:spacing w:before="200" w:after="0" w:line="276" w:lineRule="auto"/>
        <w:ind w:left="720" w:hanging="720"/>
      </w:pPr>
      <w:bookmarkStart w:id="16" w:name="_Toc507575219"/>
      <w:bookmarkStart w:id="17" w:name="_Toc509234553"/>
      <w:r w:rsidRPr="00F066DB">
        <w:t>Správa (management)</w:t>
      </w:r>
      <w:bookmarkEnd w:id="16"/>
      <w:bookmarkEnd w:id="17"/>
    </w:p>
    <w:tbl>
      <w:tblPr>
        <w:tblStyle w:val="GridTable4-Accent11"/>
        <w:tblW w:w="9067" w:type="dxa"/>
        <w:tblLayout w:type="fixed"/>
        <w:tblLook w:val="0420" w:firstRow="1" w:lastRow="0" w:firstColumn="0" w:lastColumn="0" w:noHBand="0" w:noVBand="1"/>
      </w:tblPr>
      <w:tblGrid>
        <w:gridCol w:w="4604"/>
        <w:gridCol w:w="778"/>
        <w:gridCol w:w="3685"/>
      </w:tblGrid>
      <w:tr w:rsidR="008B67A2" w:rsidRPr="00F066DB" w:rsidTr="0099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04" w:type="dxa"/>
            <w:vAlign w:val="center"/>
          </w:tcPr>
          <w:p w:rsidR="008B67A2" w:rsidRPr="00F066DB" w:rsidRDefault="008B67A2" w:rsidP="00992A82">
            <w:pPr>
              <w:jc w:val="center"/>
            </w:pPr>
            <w:r w:rsidRPr="00F066DB">
              <w:t>Požadovaný parametr</w:t>
            </w:r>
          </w:p>
        </w:tc>
        <w:tc>
          <w:tcPr>
            <w:tcW w:w="778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ANO/NE</w:t>
            </w:r>
          </w:p>
        </w:tc>
        <w:tc>
          <w:tcPr>
            <w:tcW w:w="3685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Popis</w:t>
            </w: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umožnit správu pr</w:t>
            </w:r>
            <w:r>
              <w:t xml:space="preserve">ostřednictvím SSL GUI webového rozhraní, CLI </w:t>
            </w:r>
            <w:proofErr w:type="spellStart"/>
            <w:r>
              <w:t>ssh</w:t>
            </w:r>
            <w:proofErr w:type="spellEnd"/>
            <w:r>
              <w:t xml:space="preserve"> a CLI RS-232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poskytovat funkcionalitu automatického reportingu, automatický call-</w:t>
            </w:r>
            <w:proofErr w:type="spellStart"/>
            <w:r w:rsidRPr="00F066DB">
              <w:t>home</w:t>
            </w:r>
            <w:proofErr w:type="spellEnd"/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>diskové úložiště musí umožnit správu na principu rolí s různými typy oprávnění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 w:rsidRPr="00F066DB">
              <w:t>zařízení musí být plně kompatibilní se stávajícím zálohovacím systémem objednatele (podpora jednotné správy se stávajícími prvky)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 w:rsidRPr="00F066DB">
              <w:t xml:space="preserve">diskové úložiště musí umožnit přímou správu z managementu aktuálně používaného SW řešení pro zálohování (řízení replikací, nastavení </w:t>
            </w:r>
            <w:proofErr w:type="spellStart"/>
            <w:r w:rsidRPr="00F066DB">
              <w:t>multitenancy</w:t>
            </w:r>
            <w:proofErr w:type="spellEnd"/>
            <w:r w:rsidRPr="00F066DB">
              <w:t xml:space="preserve">, využití funkcionalit jako jsou </w:t>
            </w:r>
            <w:proofErr w:type="spellStart"/>
            <w:r w:rsidRPr="00F066DB">
              <w:t>change</w:t>
            </w:r>
            <w:proofErr w:type="spellEnd"/>
            <w:r w:rsidRPr="00F066DB">
              <w:t xml:space="preserve"> </w:t>
            </w:r>
            <w:proofErr w:type="spellStart"/>
            <w:r w:rsidRPr="00F066DB">
              <w:t>block</w:t>
            </w:r>
            <w:proofErr w:type="spellEnd"/>
            <w:r w:rsidRPr="00F066DB">
              <w:t xml:space="preserve"> </w:t>
            </w:r>
            <w:proofErr w:type="spellStart"/>
            <w:r w:rsidRPr="00F066DB">
              <w:t>tracking</w:t>
            </w:r>
            <w:proofErr w:type="spellEnd"/>
            <w:r w:rsidRPr="00F066DB">
              <w:t xml:space="preserve"> </w:t>
            </w:r>
            <w:proofErr w:type="spellStart"/>
            <w:r w:rsidRPr="00F066DB">
              <w:t>backup</w:t>
            </w:r>
            <w:proofErr w:type="spellEnd"/>
            <w:r w:rsidRPr="00F066DB">
              <w:t xml:space="preserve"> pro prostředí </w:t>
            </w:r>
            <w:proofErr w:type="spellStart"/>
            <w:r w:rsidRPr="00F066DB">
              <w:t>VMware</w:t>
            </w:r>
            <w:proofErr w:type="spellEnd"/>
            <w:r w:rsidRPr="00F066DB">
              <w:t>, souborových systém</w:t>
            </w:r>
            <w:r>
              <w:t>ů Windows a Linux, MS Exchange</w:t>
            </w:r>
            <w:r w:rsidRPr="00F066DB">
              <w:t xml:space="preserve"> a další)</w:t>
            </w:r>
          </w:p>
        </w:tc>
        <w:tc>
          <w:tcPr>
            <w:tcW w:w="778" w:type="dxa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</w:tbl>
    <w:p w:rsidR="008B67A2" w:rsidRPr="00F066DB" w:rsidRDefault="008B67A2" w:rsidP="008B67A2">
      <w:pPr>
        <w:pStyle w:val="Titulek"/>
      </w:pPr>
      <w:bookmarkStart w:id="18" w:name="_Toc468206014"/>
      <w:r w:rsidRPr="00F066DB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F066DB">
        <w:rPr>
          <w:noProof/>
        </w:rPr>
        <w:t>5</w:t>
      </w:r>
      <w:r>
        <w:rPr>
          <w:noProof/>
        </w:rPr>
        <w:fldChar w:fldCharType="end"/>
      </w:r>
      <w:r w:rsidRPr="00F066DB">
        <w:t>: Parametry pro správu</w:t>
      </w:r>
      <w:bookmarkEnd w:id="18"/>
    </w:p>
    <w:p w:rsidR="008B67A2" w:rsidRPr="007B03EB" w:rsidRDefault="008B67A2" w:rsidP="008B67A2">
      <w:pPr>
        <w:pStyle w:val="Basic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Myriad Pro SemiCond" w:hAnsi="Myriad Pro SemiCond" w:cs="Helvetica"/>
          <w:i/>
          <w:sz w:val="24"/>
        </w:rPr>
      </w:pPr>
      <w:bookmarkStart w:id="19" w:name="_Toc507575220"/>
      <w:r w:rsidRPr="007B03EB">
        <w:rPr>
          <w:rFonts w:ascii="Myriad Pro SemiCond" w:hAnsi="Myriad Pro SemiCond" w:cs="Helvetica"/>
          <w:i/>
          <w:sz w:val="24"/>
        </w:rPr>
        <w:t>Dodávka programového vybavení pro zálohování dat</w:t>
      </w:r>
      <w:bookmarkEnd w:id="19"/>
    </w:p>
    <w:p w:rsidR="008B67A2" w:rsidRPr="007B03EB" w:rsidRDefault="008B67A2" w:rsidP="008B67A2">
      <w:pPr>
        <w:tabs>
          <w:tab w:val="left" w:pos="1620"/>
        </w:tabs>
        <w:spacing w:before="240"/>
        <w:rPr>
          <w:rFonts w:ascii="Myriad Pro Black" w:hAnsi="Myriad Pro Black" w:cs="Helvetica"/>
          <w:sz w:val="28"/>
          <w:szCs w:val="28"/>
        </w:rPr>
      </w:pPr>
      <w:bookmarkStart w:id="20" w:name="_Toc507575221"/>
      <w:r w:rsidRPr="007B03EB">
        <w:rPr>
          <w:rFonts w:ascii="Myriad Pro Black" w:hAnsi="Myriad Pro Black" w:cs="Helvetica"/>
          <w:sz w:val="28"/>
          <w:szCs w:val="28"/>
        </w:rPr>
        <w:lastRenderedPageBreak/>
        <w:t xml:space="preserve">Funkční požadavky na integraci se stávajícím zálohovacím SW Dell/EMC </w:t>
      </w:r>
      <w:proofErr w:type="spellStart"/>
      <w:r w:rsidRPr="007B03EB">
        <w:rPr>
          <w:rFonts w:ascii="Myriad Pro Black" w:hAnsi="Myriad Pro Black" w:cs="Helvetica"/>
          <w:sz w:val="28"/>
          <w:szCs w:val="28"/>
        </w:rPr>
        <w:t>NetWorker</w:t>
      </w:r>
      <w:bookmarkEnd w:id="20"/>
      <w:proofErr w:type="spellEnd"/>
    </w:p>
    <w:p w:rsidR="008B67A2" w:rsidRDefault="008B67A2" w:rsidP="008B67A2">
      <w:pPr>
        <w:rPr>
          <w:rFonts w:ascii="Myriad Pro" w:hAnsi="Myriad Pro" w:cs="Helvetica"/>
          <w:sz w:val="22"/>
          <w:szCs w:val="22"/>
        </w:rPr>
      </w:pPr>
      <w:r w:rsidRPr="00901E9B">
        <w:rPr>
          <w:rFonts w:ascii="Myriad Pro" w:hAnsi="Myriad Pro" w:cs="Helvetica"/>
          <w:sz w:val="22"/>
          <w:szCs w:val="22"/>
        </w:rPr>
        <w:t>V následující tabulce jsou uvedeny minimální funkční požadavky na dodávaný integrační SW</w:t>
      </w:r>
      <w:r>
        <w:rPr>
          <w:rFonts w:ascii="Myriad Pro" w:hAnsi="Myriad Pro" w:cs="Helvetica"/>
          <w:sz w:val="22"/>
          <w:szCs w:val="22"/>
        </w:rPr>
        <w:t>.</w:t>
      </w:r>
    </w:p>
    <w:p w:rsidR="008B67A2" w:rsidRPr="00901E9B" w:rsidRDefault="008B67A2" w:rsidP="008B67A2">
      <w:pPr>
        <w:rPr>
          <w:rFonts w:ascii="Myriad Pro" w:hAnsi="Myriad Pro" w:cs="Helvetica"/>
          <w:sz w:val="22"/>
          <w:szCs w:val="22"/>
        </w:rPr>
      </w:pPr>
    </w:p>
    <w:tbl>
      <w:tblPr>
        <w:tblStyle w:val="GridTable4-Accent11"/>
        <w:tblW w:w="9067" w:type="dxa"/>
        <w:tblLayout w:type="fixed"/>
        <w:tblLook w:val="0420" w:firstRow="1" w:lastRow="0" w:firstColumn="0" w:lastColumn="0" w:noHBand="0" w:noVBand="1"/>
      </w:tblPr>
      <w:tblGrid>
        <w:gridCol w:w="4604"/>
        <w:gridCol w:w="69"/>
        <w:gridCol w:w="13"/>
        <w:gridCol w:w="696"/>
        <w:gridCol w:w="3685"/>
      </w:tblGrid>
      <w:tr w:rsidR="008B67A2" w:rsidRPr="00F066DB" w:rsidTr="0099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04" w:type="dxa"/>
            <w:vAlign w:val="center"/>
          </w:tcPr>
          <w:p w:rsidR="008B67A2" w:rsidRPr="00F066DB" w:rsidRDefault="008B67A2" w:rsidP="00992A82">
            <w:pPr>
              <w:jc w:val="center"/>
            </w:pPr>
            <w:r w:rsidRPr="00F066DB">
              <w:t>Požadovaný parametr</w:t>
            </w:r>
          </w:p>
        </w:tc>
        <w:tc>
          <w:tcPr>
            <w:tcW w:w="778" w:type="dxa"/>
            <w:gridSpan w:val="3"/>
            <w:vAlign w:val="center"/>
          </w:tcPr>
          <w:p w:rsidR="008B67A2" w:rsidRPr="00F066DB" w:rsidRDefault="008B67A2" w:rsidP="00992A82">
            <w:pPr>
              <w:jc w:val="center"/>
            </w:pPr>
            <w:r>
              <w:t>ANO/NE</w:t>
            </w:r>
          </w:p>
        </w:tc>
        <w:tc>
          <w:tcPr>
            <w:tcW w:w="3685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Popis</w:t>
            </w: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>
              <w:t>c</w:t>
            </w:r>
            <w:r w:rsidRPr="00F066DB">
              <w:t>entrální správa prostřednictvím jedné konzole</w:t>
            </w:r>
          </w:p>
        </w:tc>
        <w:tc>
          <w:tcPr>
            <w:tcW w:w="778" w:type="dxa"/>
            <w:gridSpan w:val="3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>
              <w:t>p</w:t>
            </w:r>
            <w:r w:rsidRPr="00F066DB">
              <w:t xml:space="preserve">římá integrace s nabízeným </w:t>
            </w:r>
            <w:proofErr w:type="spellStart"/>
            <w:r w:rsidRPr="00F066DB">
              <w:t>deduplikačním</w:t>
            </w:r>
            <w:proofErr w:type="spellEnd"/>
            <w:r w:rsidRPr="00F066DB">
              <w:t xml:space="preserve"> diskovým úložištěm</w:t>
            </w:r>
            <w:r>
              <w:t xml:space="preserve"> prostřednictvím </w:t>
            </w:r>
            <w:proofErr w:type="spellStart"/>
            <w:r>
              <w:t>deduplikačního</w:t>
            </w:r>
            <w:proofErr w:type="spellEnd"/>
            <w:r>
              <w:t xml:space="preserve"> protokolu DD BOOST</w:t>
            </w:r>
          </w:p>
        </w:tc>
        <w:tc>
          <w:tcPr>
            <w:tcW w:w="778" w:type="dxa"/>
            <w:gridSpan w:val="3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>
              <w:t xml:space="preserve">rozšíření licencí stávajícího zálohovacího systému pro pokrytí plné kapacity dodávaného </w:t>
            </w:r>
            <w:proofErr w:type="spellStart"/>
            <w:r>
              <w:t>deduplikačního</w:t>
            </w:r>
            <w:proofErr w:type="spellEnd"/>
            <w:r>
              <w:t xml:space="preserve"> úložiště</w:t>
            </w:r>
          </w:p>
        </w:tc>
        <w:tc>
          <w:tcPr>
            <w:tcW w:w="778" w:type="dxa"/>
            <w:gridSpan w:val="3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Default="008B67A2" w:rsidP="00992A82">
            <w:r>
              <w:t xml:space="preserve">rozšíření licencí stávajícího zálohovacího systému pro pokrytí potřeb zálohování </w:t>
            </w:r>
            <w:proofErr w:type="spellStart"/>
            <w:r>
              <w:t>virtualizačního</w:t>
            </w:r>
            <w:proofErr w:type="spellEnd"/>
            <w:r>
              <w:t xml:space="preserve"> prostředí zadavatele - 8x ESX farma</w:t>
            </w:r>
          </w:p>
        </w:tc>
        <w:tc>
          <w:tcPr>
            <w:tcW w:w="778" w:type="dxa"/>
            <w:gridSpan w:val="3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>
              <w:t>f</w:t>
            </w:r>
            <w:r w:rsidRPr="00F066DB">
              <w:t xml:space="preserve">unkcionalita pro denní inkrementální zálohu, která bude logicky reportována jako full </w:t>
            </w:r>
            <w:proofErr w:type="spellStart"/>
            <w:r w:rsidRPr="00F066DB">
              <w:t>backup</w:t>
            </w:r>
            <w:proofErr w:type="spellEnd"/>
            <w:r w:rsidRPr="00F066DB">
              <w:t xml:space="preserve"> a v případě obnovy bude v rámci jedné obnovovací úlohy obnovena přímo až na klienta (bez nutnosti mezikroků s obnovou poslední full a následných inkrementů)</w:t>
            </w:r>
          </w:p>
        </w:tc>
        <w:tc>
          <w:tcPr>
            <w:tcW w:w="778" w:type="dxa"/>
            <w:gridSpan w:val="3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proofErr w:type="spellStart"/>
            <w:r>
              <w:t>c</w:t>
            </w:r>
            <w:r w:rsidRPr="00F066DB">
              <w:t>hange</w:t>
            </w:r>
            <w:proofErr w:type="spellEnd"/>
            <w:r w:rsidRPr="00F066DB">
              <w:t xml:space="preserve"> </w:t>
            </w:r>
            <w:proofErr w:type="spellStart"/>
            <w:r w:rsidRPr="00F066DB">
              <w:t>block</w:t>
            </w:r>
            <w:proofErr w:type="spellEnd"/>
            <w:r w:rsidRPr="00F066DB">
              <w:t xml:space="preserve"> </w:t>
            </w:r>
            <w:proofErr w:type="spellStart"/>
            <w:r w:rsidRPr="00F066DB">
              <w:t>tracking</w:t>
            </w:r>
            <w:proofErr w:type="spellEnd"/>
            <w:r w:rsidRPr="00F066DB">
              <w:t xml:space="preserve"> záloha velkých souborových systémů (Window</w:t>
            </w:r>
            <w:r>
              <w:t xml:space="preserve">s, Linux),  </w:t>
            </w:r>
            <w:proofErr w:type="spellStart"/>
            <w:r>
              <w:t>VMware</w:t>
            </w:r>
            <w:proofErr w:type="spellEnd"/>
            <w:r>
              <w:t>, MS Exchange s možností obnovy přímo na prostředcích nabízeného úložiště</w:t>
            </w:r>
          </w:p>
        </w:tc>
        <w:tc>
          <w:tcPr>
            <w:tcW w:w="778" w:type="dxa"/>
            <w:gridSpan w:val="3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>
              <w:t>f</w:t>
            </w:r>
            <w:r w:rsidRPr="00F066DB">
              <w:t xml:space="preserve">unkcionalita pro end to end (od klienta až do </w:t>
            </w:r>
            <w:proofErr w:type="spellStart"/>
            <w:r w:rsidRPr="00F066DB">
              <w:t>deduplikačního</w:t>
            </w:r>
            <w:proofErr w:type="spellEnd"/>
            <w:r w:rsidRPr="00F066DB">
              <w:t xml:space="preserve"> úložiště) </w:t>
            </w:r>
            <w:proofErr w:type="spellStart"/>
            <w:r w:rsidRPr="00F066DB">
              <w:t>multitentancy</w:t>
            </w:r>
            <w:proofErr w:type="spellEnd"/>
          </w:p>
        </w:tc>
        <w:tc>
          <w:tcPr>
            <w:tcW w:w="778" w:type="dxa"/>
            <w:gridSpan w:val="3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  <w:tr w:rsidR="008B67A2" w:rsidRPr="00F066DB" w:rsidTr="00992A82">
        <w:tc>
          <w:tcPr>
            <w:tcW w:w="4673" w:type="dxa"/>
            <w:gridSpan w:val="2"/>
          </w:tcPr>
          <w:p w:rsidR="008B67A2" w:rsidRPr="00F066DB" w:rsidRDefault="008B67A2" w:rsidP="00992A82">
            <w:r>
              <w:t>podpora funkcionality</w:t>
            </w:r>
            <w:r w:rsidRPr="00F066DB">
              <w:t xml:space="preserve"> pro efektivní zálohu primárních diskových úložišť (jak blokových, tak souborových NAS) formou </w:t>
            </w:r>
            <w:proofErr w:type="spellStart"/>
            <w:r w:rsidRPr="00F066DB">
              <w:t>snapů</w:t>
            </w:r>
            <w:proofErr w:type="spellEnd"/>
            <w:r w:rsidRPr="00F066DB">
              <w:t xml:space="preserve"> a NDMP</w:t>
            </w:r>
          </w:p>
        </w:tc>
        <w:tc>
          <w:tcPr>
            <w:tcW w:w="709" w:type="dxa"/>
            <w:gridSpan w:val="2"/>
          </w:tcPr>
          <w:p w:rsidR="008B67A2" w:rsidRPr="00F066DB" w:rsidRDefault="008B67A2" w:rsidP="00992A82">
            <w:pPr>
              <w:keepNext/>
            </w:pPr>
          </w:p>
        </w:tc>
        <w:tc>
          <w:tcPr>
            <w:tcW w:w="3685" w:type="dxa"/>
          </w:tcPr>
          <w:p w:rsidR="008B67A2" w:rsidRPr="00F066DB" w:rsidRDefault="008B67A2" w:rsidP="00992A82">
            <w:pPr>
              <w:keepNext/>
            </w:pPr>
          </w:p>
        </w:tc>
      </w:tr>
      <w:tr w:rsidR="008B67A2" w:rsidRPr="007268C7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86" w:type="dxa"/>
            <w:gridSpan w:val="3"/>
          </w:tcPr>
          <w:p w:rsidR="008B67A2" w:rsidRPr="007268C7" w:rsidRDefault="008B67A2" w:rsidP="00992A82">
            <w:pPr>
              <w:rPr>
                <w:b/>
              </w:rPr>
            </w:pPr>
            <w:r>
              <w:t>e</w:t>
            </w:r>
            <w:r w:rsidRPr="007268C7">
              <w:t>fektivní systém ukládání zálohovaných dat (</w:t>
            </w:r>
            <w:proofErr w:type="spellStart"/>
            <w:r w:rsidRPr="007268C7">
              <w:t>deduplikace</w:t>
            </w:r>
            <w:proofErr w:type="spellEnd"/>
            <w:r w:rsidRPr="007268C7">
              <w:t>, komprimace) na úrovni zdroje a přes celou infrastrukturu umožňující denní zálohování do centrálního úložiště po pomalých linkách (specifikováno výše)</w:t>
            </w:r>
          </w:p>
        </w:tc>
        <w:tc>
          <w:tcPr>
            <w:tcW w:w="696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  <w:tc>
          <w:tcPr>
            <w:tcW w:w="3685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</w:tr>
      <w:tr w:rsidR="008B67A2" w:rsidRPr="007268C7" w:rsidTr="00992A82">
        <w:tc>
          <w:tcPr>
            <w:tcW w:w="4686" w:type="dxa"/>
            <w:gridSpan w:val="3"/>
          </w:tcPr>
          <w:p w:rsidR="008B67A2" w:rsidRPr="007268C7" w:rsidRDefault="008B67A2" w:rsidP="00992A82">
            <w:pPr>
              <w:rPr>
                <w:b/>
              </w:rPr>
            </w:pPr>
            <w:r>
              <w:lastRenderedPageBreak/>
              <w:t xml:space="preserve">integrační SW </w:t>
            </w:r>
            <w:r w:rsidRPr="007268C7">
              <w:t xml:space="preserve">musí být plně kompatibilní a certifikované pro běh </w:t>
            </w:r>
            <w:r>
              <w:t>celého</w:t>
            </w:r>
            <w:r w:rsidRPr="007268C7">
              <w:t xml:space="preserve"> řešení</w:t>
            </w:r>
          </w:p>
        </w:tc>
        <w:tc>
          <w:tcPr>
            <w:tcW w:w="696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  <w:tc>
          <w:tcPr>
            <w:tcW w:w="3685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</w:tr>
      <w:tr w:rsidR="008B67A2" w:rsidRPr="007268C7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86" w:type="dxa"/>
            <w:gridSpan w:val="3"/>
          </w:tcPr>
          <w:p w:rsidR="008B67A2" w:rsidRPr="007268C7" w:rsidRDefault="008B67A2" w:rsidP="00992A82">
            <w:r>
              <w:t xml:space="preserve">možnost obnovy zálohovaných virtuálních strojů </w:t>
            </w:r>
            <w:proofErr w:type="spellStart"/>
            <w:r>
              <w:t>VMware</w:t>
            </w:r>
            <w:proofErr w:type="spellEnd"/>
            <w:r>
              <w:t xml:space="preserve"> přímo na prostředcích nabízeného úložiště bez nutnosti přenosu dat do produkčního prostředí (možnost nastartování VM, obnovy jednoho souboru, nebo přesun celé běžící VM do produkčního clusteru)</w:t>
            </w:r>
          </w:p>
        </w:tc>
        <w:tc>
          <w:tcPr>
            <w:tcW w:w="696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  <w:tc>
          <w:tcPr>
            <w:tcW w:w="3685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</w:tr>
      <w:tr w:rsidR="008B67A2" w:rsidRPr="007268C7" w:rsidTr="00992A82">
        <w:tc>
          <w:tcPr>
            <w:tcW w:w="4686" w:type="dxa"/>
            <w:gridSpan w:val="3"/>
          </w:tcPr>
          <w:p w:rsidR="008B67A2" w:rsidRPr="00142CF0" w:rsidRDefault="008B67A2" w:rsidP="00992A82">
            <w:r>
              <w:rPr>
                <w:bCs/>
              </w:rPr>
              <w:t>zařízení musí umožnit kop</w:t>
            </w:r>
            <w:r w:rsidRPr="00142CF0">
              <w:rPr>
                <w:bCs/>
              </w:rPr>
              <w:t xml:space="preserve">írování/klonování uložených záloh v </w:t>
            </w:r>
            <w:proofErr w:type="spellStart"/>
            <w:r w:rsidRPr="00142CF0">
              <w:rPr>
                <w:bCs/>
              </w:rPr>
              <w:t>nededuplikovaném</w:t>
            </w:r>
            <w:proofErr w:type="spellEnd"/>
            <w:r w:rsidRPr="00142CF0">
              <w:rPr>
                <w:bCs/>
              </w:rPr>
              <w:t xml:space="preserve"> formátu na jiné typy médií (např. pásky) bez nutnosti technických mezikroků, jako např. použití další diskové kapacity pro rehydrataci </w:t>
            </w:r>
            <w:proofErr w:type="spellStart"/>
            <w:r w:rsidRPr="00142CF0">
              <w:rPr>
                <w:bCs/>
              </w:rPr>
              <w:t>deduplikovaných</w:t>
            </w:r>
            <w:proofErr w:type="spellEnd"/>
            <w:r w:rsidRPr="00142CF0">
              <w:rPr>
                <w:bCs/>
              </w:rPr>
              <w:t xml:space="preserve"> záloh. Případné licence pro tuto funkcion</w:t>
            </w:r>
            <w:r>
              <w:rPr>
                <w:bCs/>
              </w:rPr>
              <w:t>alitu musí být součástí dodávky</w:t>
            </w:r>
          </w:p>
        </w:tc>
        <w:tc>
          <w:tcPr>
            <w:tcW w:w="696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  <w:tc>
          <w:tcPr>
            <w:tcW w:w="3685" w:type="dxa"/>
          </w:tcPr>
          <w:p w:rsidR="008B67A2" w:rsidRPr="007268C7" w:rsidRDefault="008B67A2" w:rsidP="00992A82">
            <w:pPr>
              <w:rPr>
                <w:b/>
              </w:rPr>
            </w:pPr>
          </w:p>
        </w:tc>
      </w:tr>
    </w:tbl>
    <w:p w:rsidR="008B67A2" w:rsidRPr="00F066DB" w:rsidRDefault="008B67A2" w:rsidP="008B67A2">
      <w:pPr>
        <w:pStyle w:val="Titulek"/>
      </w:pPr>
      <w:bookmarkStart w:id="21" w:name="_Toc468206015"/>
      <w:r w:rsidRPr="00F066DB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F066DB">
        <w:rPr>
          <w:noProof/>
        </w:rPr>
        <w:t>6</w:t>
      </w:r>
      <w:r>
        <w:rPr>
          <w:noProof/>
        </w:rPr>
        <w:fldChar w:fldCharType="end"/>
      </w:r>
      <w:r w:rsidRPr="00F066DB">
        <w:t>: Parametry funkcionalitu nabízeného SW vybavení</w:t>
      </w:r>
      <w:bookmarkEnd w:id="21"/>
    </w:p>
    <w:p w:rsidR="008B67A2" w:rsidRPr="007B03EB" w:rsidRDefault="008B67A2" w:rsidP="008B67A2">
      <w:pPr>
        <w:pStyle w:val="Basic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Myriad Pro SemiCond" w:hAnsi="Myriad Pro SemiCond" w:cs="Helvetica"/>
          <w:i/>
          <w:sz w:val="24"/>
        </w:rPr>
      </w:pPr>
      <w:bookmarkStart w:id="22" w:name="_Toc507575222"/>
      <w:r w:rsidRPr="007B03EB">
        <w:rPr>
          <w:rFonts w:ascii="Myriad Pro SemiCond" w:hAnsi="Myriad Pro SemiCond" w:cs="Helvetica"/>
          <w:i/>
          <w:sz w:val="24"/>
        </w:rPr>
        <w:t>Další související služby</w:t>
      </w:r>
      <w:bookmarkEnd w:id="22"/>
    </w:p>
    <w:p w:rsidR="008B67A2" w:rsidRPr="00F066DB" w:rsidRDefault="008B67A2" w:rsidP="008B67A2">
      <w:r w:rsidRPr="00F066DB">
        <w:t>Zadavatel požaduje následující služby</w:t>
      </w:r>
      <w:r>
        <w:t xml:space="preserve"> jako součást dodávky</w:t>
      </w:r>
      <w:r w:rsidRPr="00F066DB">
        <w:t>.</w:t>
      </w:r>
    </w:p>
    <w:tbl>
      <w:tblPr>
        <w:tblStyle w:val="GridTable4-Accent11"/>
        <w:tblW w:w="9067" w:type="dxa"/>
        <w:tblLayout w:type="fixed"/>
        <w:tblLook w:val="0420" w:firstRow="1" w:lastRow="0" w:firstColumn="0" w:lastColumn="0" w:noHBand="0" w:noVBand="1"/>
      </w:tblPr>
      <w:tblGrid>
        <w:gridCol w:w="4604"/>
        <w:gridCol w:w="778"/>
        <w:gridCol w:w="3685"/>
      </w:tblGrid>
      <w:tr w:rsidR="008B67A2" w:rsidRPr="00F066DB" w:rsidTr="0099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04" w:type="dxa"/>
            <w:vAlign w:val="center"/>
          </w:tcPr>
          <w:p w:rsidR="008B67A2" w:rsidRPr="00F066DB" w:rsidRDefault="008B67A2" w:rsidP="00992A82">
            <w:pPr>
              <w:jc w:val="center"/>
            </w:pPr>
            <w:r w:rsidRPr="00F066DB">
              <w:t>Požadovaný parametr</w:t>
            </w:r>
          </w:p>
        </w:tc>
        <w:tc>
          <w:tcPr>
            <w:tcW w:w="778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ANO/NE</w:t>
            </w:r>
          </w:p>
        </w:tc>
        <w:tc>
          <w:tcPr>
            <w:tcW w:w="3685" w:type="dxa"/>
            <w:vAlign w:val="center"/>
          </w:tcPr>
          <w:p w:rsidR="008B67A2" w:rsidRPr="00F066DB" w:rsidRDefault="008B67A2" w:rsidP="00992A82">
            <w:pPr>
              <w:jc w:val="center"/>
            </w:pPr>
            <w:r>
              <w:t>Popis</w:t>
            </w:r>
          </w:p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Pr="00F066DB" w:rsidRDefault="008B67A2" w:rsidP="00992A82">
            <w:r>
              <w:t>d</w:t>
            </w:r>
            <w:r w:rsidRPr="00F066DB">
              <w:t>oprava zboží</w:t>
            </w:r>
            <w:r>
              <w:t>, základní HW instalace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c>
          <w:tcPr>
            <w:tcW w:w="4604" w:type="dxa"/>
          </w:tcPr>
          <w:p w:rsidR="008B67A2" w:rsidRPr="00F066DB" w:rsidRDefault="008B67A2" w:rsidP="00992A82">
            <w:r>
              <w:t>d</w:t>
            </w:r>
            <w:r w:rsidRPr="00F066DB">
              <w:t>odání dokumentace pro obsluhu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  <w:tr w:rsidR="008B67A2" w:rsidRPr="00F066DB" w:rsidTr="0099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</w:tcPr>
          <w:p w:rsidR="008B67A2" w:rsidRDefault="008B67A2" w:rsidP="00992A82">
            <w:r>
              <w:t xml:space="preserve">je požadována integrace se stávajícím zálohovacím systémem </w:t>
            </w:r>
          </w:p>
        </w:tc>
        <w:tc>
          <w:tcPr>
            <w:tcW w:w="778" w:type="dxa"/>
          </w:tcPr>
          <w:p w:rsidR="008B67A2" w:rsidRPr="00F066DB" w:rsidRDefault="008B67A2" w:rsidP="00992A82"/>
        </w:tc>
        <w:tc>
          <w:tcPr>
            <w:tcW w:w="3685" w:type="dxa"/>
          </w:tcPr>
          <w:p w:rsidR="008B67A2" w:rsidRPr="00F066DB" w:rsidRDefault="008B67A2" w:rsidP="00992A82"/>
        </w:tc>
      </w:tr>
    </w:tbl>
    <w:p w:rsidR="008B67A2" w:rsidRPr="00F066DB" w:rsidRDefault="008B67A2" w:rsidP="008B67A2">
      <w:pPr>
        <w:pStyle w:val="Titulek"/>
      </w:pPr>
      <w:bookmarkStart w:id="23" w:name="_Toc468206016"/>
      <w:r w:rsidRPr="00F066DB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F066DB">
        <w:rPr>
          <w:noProof/>
        </w:rPr>
        <w:t>7</w:t>
      </w:r>
      <w:r>
        <w:rPr>
          <w:noProof/>
        </w:rPr>
        <w:fldChar w:fldCharType="end"/>
      </w:r>
      <w:r w:rsidRPr="00F066DB">
        <w:t>: Další požadované služby</w:t>
      </w:r>
      <w:bookmarkEnd w:id="23"/>
    </w:p>
    <w:p w:rsidR="008B67A2" w:rsidRPr="005156AF" w:rsidRDefault="008B67A2" w:rsidP="008B67A2">
      <w:pPr>
        <w:rPr>
          <w:rFonts w:ascii="Myriad Pro" w:eastAsiaTheme="minorHAnsi" w:hAnsi="Myriad Pro" w:cs="Helvetica"/>
          <w:color w:val="000000"/>
          <w:sz w:val="22"/>
          <w:szCs w:val="22"/>
          <w:lang w:eastAsia="en-US"/>
        </w:rPr>
      </w:pPr>
      <w:r w:rsidRPr="005156AF">
        <w:rPr>
          <w:rFonts w:ascii="Myriad Pro" w:hAnsi="Myriad Pro" w:cs="Helvetica"/>
        </w:rPr>
        <w:br w:type="page"/>
      </w:r>
    </w:p>
    <w:p w:rsidR="008B67A2" w:rsidRPr="005156AF" w:rsidRDefault="008B67A2" w:rsidP="008B67A2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Myriad Pro" w:hAnsi="Myriad Pro" w:cs="Helvetica"/>
          <w:sz w:val="28"/>
          <w:szCs w:val="28"/>
        </w:rPr>
      </w:pPr>
      <w:r w:rsidRPr="005156AF">
        <w:rPr>
          <w:rFonts w:ascii="Myriad Pro" w:hAnsi="Myriad Pro" w:cs="Helvetica"/>
          <w:sz w:val="28"/>
          <w:szCs w:val="28"/>
        </w:rPr>
        <w:lastRenderedPageBreak/>
        <w:t>Sekce III – Prohlášení o nabídkové ceně</w:t>
      </w: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  <w:r w:rsidRPr="005156AF">
        <w:rPr>
          <w:rFonts w:ascii="Myriad Pro" w:hAnsi="Myriad Pro" w:cs="Helvetica"/>
          <w:szCs w:val="22"/>
        </w:rPr>
        <w:t xml:space="preserve">Prohlašuji, že </w:t>
      </w:r>
      <w:r>
        <w:rPr>
          <w:rFonts w:ascii="Myriad Pro" w:hAnsi="Myriad Pro" w:cs="Helvetica"/>
          <w:szCs w:val="22"/>
        </w:rPr>
        <w:t>veškeré nabízené zboží</w:t>
      </w:r>
      <w:r w:rsidRPr="005156AF">
        <w:rPr>
          <w:rFonts w:ascii="Myriad Pro" w:hAnsi="Myriad Pro" w:cs="Helvetica"/>
          <w:szCs w:val="22"/>
        </w:rPr>
        <w:t xml:space="preserve"> odpovíd</w:t>
      </w:r>
      <w:r>
        <w:rPr>
          <w:rFonts w:ascii="Myriad Pro" w:hAnsi="Myriad Pro" w:cs="Helvetica"/>
          <w:szCs w:val="22"/>
        </w:rPr>
        <w:t>á</w:t>
      </w:r>
      <w:r w:rsidRPr="005156AF">
        <w:rPr>
          <w:rFonts w:ascii="Myriad Pro" w:hAnsi="Myriad Pro" w:cs="Helvetica"/>
          <w:szCs w:val="22"/>
        </w:rPr>
        <w:t xml:space="preserve"> požadovaným parametrům uvedeným ve Formuláři nabídky v sekci II této Zadávací dokumentace a že nabídková cena je konečná zahrnující náklady nutné ke kvalitní realizaci předmětu plnění bez nároku na další platby ze strany zadavatele.</w:t>
      </w: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992"/>
        <w:gridCol w:w="709"/>
        <w:gridCol w:w="1134"/>
        <w:gridCol w:w="992"/>
        <w:gridCol w:w="1276"/>
      </w:tblGrid>
      <w:tr w:rsidR="008B67A2" w:rsidRPr="005156AF" w:rsidTr="00992A82">
        <w:trPr>
          <w:trHeight w:val="541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 xml:space="preserve">Specifikace zařízení (výrobce a model)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>Cena s DPH</w:t>
            </w:r>
          </w:p>
        </w:tc>
      </w:tr>
      <w:tr w:rsidR="008B67A2" w:rsidRPr="005156AF" w:rsidTr="00992A82">
        <w:trPr>
          <w:trHeight w:val="2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>
              <w:rPr>
                <w:rFonts w:ascii="Myriad Pro" w:hAnsi="Myriad Pro"/>
                <w:color w:val="000000"/>
                <w:sz w:val="22"/>
                <w:szCs w:val="22"/>
              </w:rPr>
              <w:t>Diskové pole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</w:tr>
      <w:tr w:rsidR="008B67A2" w:rsidRPr="005156AF" w:rsidTr="00992A8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>
              <w:rPr>
                <w:rFonts w:ascii="Myriad Pro" w:hAnsi="Myriad Pro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  <w:tr w:rsidR="008B67A2" w:rsidRPr="005156AF" w:rsidTr="00992A8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</w:tr>
      <w:tr w:rsidR="008B67A2" w:rsidRPr="005156AF" w:rsidTr="00992A82">
        <w:trPr>
          <w:trHeight w:val="330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 xml:space="preserve">Nabídková cena </w:t>
            </w:r>
            <w:r w:rsidRPr="005156AF">
              <w:rPr>
                <w:rFonts w:ascii="Myriad Pro" w:hAnsi="Myriad Pro"/>
                <w:bCs/>
                <w:color w:val="000000"/>
                <w:sz w:val="20"/>
                <w:szCs w:val="20"/>
              </w:rPr>
              <w:t xml:space="preserve">(součet cen </w:t>
            </w:r>
            <w:r>
              <w:rPr>
                <w:rFonts w:ascii="Myriad Pro" w:hAnsi="Myriad Pro"/>
                <w:bCs/>
                <w:color w:val="000000"/>
                <w:sz w:val="20"/>
                <w:szCs w:val="20"/>
              </w:rPr>
              <w:t>za všechny položky</w:t>
            </w:r>
            <w:r w:rsidRPr="005156AF">
              <w:rPr>
                <w:rFonts w:ascii="Myriad Pro" w:hAnsi="Myriad Pro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</w:tr>
    </w:tbl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p w:rsidR="008B67A2" w:rsidRPr="005156AF" w:rsidRDefault="008B67A2" w:rsidP="008B67A2">
      <w:pPr>
        <w:jc w:val="center"/>
        <w:rPr>
          <w:rFonts w:ascii="Myriad Pro" w:hAnsi="Myriad Pro" w:cs="Helvetica"/>
          <w:sz w:val="22"/>
          <w:szCs w:val="22"/>
        </w:rPr>
      </w:pPr>
      <w:r w:rsidRPr="005156AF">
        <w:rPr>
          <w:rFonts w:ascii="Myriad Pro" w:hAnsi="Myriad Pro" w:cs="Helvetica"/>
          <w:sz w:val="22"/>
          <w:szCs w:val="22"/>
        </w:rPr>
        <w:t>…………………………………….………………………………………………………………</w:t>
      </w:r>
    </w:p>
    <w:p w:rsidR="008B67A2" w:rsidRPr="005156AF" w:rsidRDefault="008B67A2" w:rsidP="008B67A2">
      <w:pPr>
        <w:jc w:val="center"/>
        <w:rPr>
          <w:rFonts w:ascii="Myriad Pro" w:hAnsi="Myriad Pro" w:cs="Helvetica"/>
          <w:sz w:val="22"/>
          <w:szCs w:val="22"/>
        </w:rPr>
      </w:pPr>
      <w:r w:rsidRPr="005156AF">
        <w:rPr>
          <w:rFonts w:ascii="Myriad Pro" w:hAnsi="Myriad Pro" w:cs="Helvetica"/>
          <w:sz w:val="22"/>
          <w:szCs w:val="22"/>
        </w:rPr>
        <w:t>Podpis osoby oprávněné jednat za účastníka zadávacího řízení</w:t>
      </w:r>
    </w:p>
    <w:p w:rsidR="008B67A2" w:rsidRPr="005156AF" w:rsidRDefault="008B67A2" w:rsidP="008B67A2">
      <w:pPr>
        <w:rPr>
          <w:rFonts w:ascii="Myriad Pro" w:hAnsi="Myriad Pro" w:cs="Helvetica"/>
          <w:sz w:val="22"/>
          <w:szCs w:val="22"/>
        </w:rPr>
      </w:pPr>
      <w:r w:rsidRPr="005156AF">
        <w:rPr>
          <w:rFonts w:ascii="Myriad Pro" w:hAnsi="Myriad Pro" w:cs="Helvetica"/>
          <w:sz w:val="22"/>
          <w:szCs w:val="22"/>
        </w:rPr>
        <w:br w:type="page"/>
      </w:r>
    </w:p>
    <w:p w:rsidR="008B67A2" w:rsidRPr="005156AF" w:rsidRDefault="008B67A2" w:rsidP="008B67A2">
      <w:pPr>
        <w:pStyle w:val="Kapitola1"/>
        <w:shd w:val="clear" w:color="auto" w:fill="E6E6E6"/>
        <w:spacing w:before="120" w:after="240"/>
        <w:ind w:left="0" w:firstLine="0"/>
        <w:rPr>
          <w:rFonts w:ascii="Myriad Pro" w:hAnsi="Myriad Pro" w:cs="Helvetica"/>
          <w:szCs w:val="28"/>
        </w:rPr>
      </w:pPr>
      <w:bookmarkStart w:id="24" w:name="_Toc509234554"/>
      <w:r w:rsidRPr="005156AF">
        <w:rPr>
          <w:rFonts w:ascii="Myriad Pro" w:hAnsi="Myriad Pro" w:cs="Helvetica"/>
          <w:szCs w:val="28"/>
        </w:rPr>
        <w:lastRenderedPageBreak/>
        <w:t>Příloha č. 2 – Návrh Kupní smlouvy</w:t>
      </w:r>
      <w:bookmarkEnd w:id="24"/>
    </w:p>
    <w:p w:rsidR="008B67A2" w:rsidRPr="005156AF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Cs w:val="20"/>
        </w:rPr>
      </w:pPr>
      <w:r w:rsidRPr="005156AF">
        <w:rPr>
          <w:rFonts w:ascii="Myriad Pro" w:hAnsi="Myriad Pro" w:cs="Arial"/>
          <w:b/>
          <w:bCs/>
          <w:sz w:val="36"/>
          <w:szCs w:val="36"/>
        </w:rPr>
        <w:t xml:space="preserve">Kupní smlouva </w:t>
      </w:r>
      <w:r w:rsidRPr="005156AF">
        <w:rPr>
          <w:rFonts w:ascii="Myriad Pro" w:hAnsi="Myriad Pro" w:cs="Arial"/>
          <w:b/>
          <w:bCs/>
          <w:sz w:val="36"/>
          <w:szCs w:val="36"/>
        </w:rPr>
        <w:br/>
      </w:r>
      <w:r w:rsidRPr="005156AF">
        <w:rPr>
          <w:rFonts w:ascii="Myriad Pro" w:hAnsi="Myriad Pro" w:cs="Arial"/>
          <w:b/>
          <w:bCs/>
          <w:szCs w:val="20"/>
        </w:rPr>
        <w:t>(dále jen „smlouva“)</w:t>
      </w:r>
      <w:r w:rsidRPr="005156AF">
        <w:rPr>
          <w:rFonts w:ascii="Myriad Pro" w:hAnsi="Myriad Pro" w:cs="Arial"/>
          <w:b/>
          <w:bCs/>
          <w:sz w:val="28"/>
          <w:szCs w:val="20"/>
        </w:rPr>
        <w:br/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 w:val="36"/>
          <w:szCs w:val="36"/>
        </w:rPr>
      </w:pPr>
      <w:proofErr w:type="gramStart"/>
      <w:r w:rsidRPr="005156AF">
        <w:rPr>
          <w:rFonts w:ascii="Myriad Pro" w:hAnsi="Myriad Pro" w:cs="Arial"/>
          <w:b/>
          <w:bCs/>
          <w:sz w:val="36"/>
          <w:szCs w:val="36"/>
        </w:rPr>
        <w:t>…./VŠ/2018</w:t>
      </w:r>
      <w:proofErr w:type="gramEnd"/>
    </w:p>
    <w:p w:rsidR="008B67A2" w:rsidRPr="005156AF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szCs w:val="20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uzavřená v souladu s § 2079 a násl. zákona č. 89/2012 Sb., občanského zákoníku, ve znění pozdějších předpisů, (dále jen „obchodní zákoník“)</w:t>
      </w:r>
    </w:p>
    <w:p w:rsidR="008B67A2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mezi</w:t>
      </w:r>
    </w:p>
    <w:p w:rsidR="008B67A2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</w:pP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Název firmy - 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se sídlem: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zastoupená: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zapsaná v obchodním rejstříku vedeném u </w:t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IČO: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DIČ: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</w:pPr>
      <w:r w:rsidRPr="00C65E7D">
        <w:rPr>
          <w:rFonts w:ascii="Myriad Pro" w:eastAsia="Arial,Arial,Times New Roman" w:hAnsi="Myriad Pro" w:cs="Arial"/>
          <w:sz w:val="22"/>
          <w:szCs w:val="22"/>
        </w:rPr>
        <w:t xml:space="preserve">Bank. </w:t>
      </w:r>
      <w:proofErr w:type="gramStart"/>
      <w:r w:rsidRPr="00C65E7D">
        <w:rPr>
          <w:rFonts w:ascii="Myriad Pro" w:eastAsia="Arial,Arial,Times New Roman" w:hAnsi="Myriad Pro" w:cs="Arial"/>
          <w:sz w:val="22"/>
          <w:szCs w:val="22"/>
        </w:rPr>
        <w:t>spojení</w:t>
      </w:r>
      <w:proofErr w:type="gramEnd"/>
      <w:r w:rsidRPr="00C65E7D">
        <w:rPr>
          <w:rFonts w:ascii="Myriad Pro" w:eastAsia="Arial,Arial,Times New Roman" w:hAnsi="Myriad Pro" w:cs="Arial"/>
          <w:sz w:val="22"/>
          <w:szCs w:val="22"/>
        </w:rPr>
        <w:t xml:space="preserve">: 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eastAsia="Arial,Arial,Times New Roman" w:hAnsi="Myriad Pro" w:cs="Arial"/>
          <w:sz w:val="22"/>
          <w:szCs w:val="22"/>
        </w:rPr>
      </w:pPr>
      <w:r w:rsidRPr="00C65E7D">
        <w:rPr>
          <w:rFonts w:ascii="Myriad Pro" w:eastAsia="Arial,Arial,Times New Roman" w:hAnsi="Myriad Pro" w:cs="Arial"/>
          <w:sz w:val="22"/>
          <w:szCs w:val="22"/>
        </w:rPr>
        <w:t>Kontaktní osoba:</w:t>
      </w:r>
      <w:r w:rsidRPr="00C65E7D">
        <w:rPr>
          <w:rFonts w:ascii="Myriad Pro" w:eastAsia="Arial,Arial,Times New Roman" w:hAnsi="Myriad Pro" w:cs="Arial"/>
          <w:sz w:val="22"/>
          <w:szCs w:val="22"/>
        </w:rPr>
        <w:tab/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  <w:r w:rsidRPr="00C65E7D">
        <w:rPr>
          <w:rFonts w:ascii="Myriad Pro" w:eastAsia="Arial,Arial,Times New Roman" w:hAnsi="Myriad Pro" w:cs="Arial"/>
          <w:sz w:val="22"/>
          <w:szCs w:val="22"/>
        </w:rPr>
        <w:tab/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eastAsia="Arial,Arial,Times New Roman" w:hAnsi="Myriad Pro" w:cs="Arial"/>
          <w:sz w:val="22"/>
          <w:szCs w:val="22"/>
        </w:rPr>
      </w:pPr>
      <w:r w:rsidRPr="00C65E7D">
        <w:rPr>
          <w:rFonts w:ascii="Myriad Pro" w:eastAsia="Arial,Arial,Times New Roman" w:hAnsi="Myriad Pro" w:cs="Arial"/>
          <w:sz w:val="22"/>
          <w:szCs w:val="22"/>
        </w:rPr>
        <w:t>e-mail:</w:t>
      </w:r>
      <w:r w:rsidRPr="00C65E7D">
        <w:rPr>
          <w:rFonts w:ascii="Myriad Pro" w:eastAsia="Arial,Arial,Times New Roman" w:hAnsi="Myriad Pro" w:cs="Arial"/>
          <w:sz w:val="22"/>
          <w:szCs w:val="22"/>
        </w:rPr>
        <w:tab/>
      </w:r>
      <w:r w:rsidRPr="00C65E7D">
        <w:rPr>
          <w:rFonts w:ascii="Myriad Pro" w:eastAsia="Arial,Arial,Times New Roman" w:hAnsi="Myriad Pro" w:cs="Arial"/>
          <w:sz w:val="22"/>
          <w:szCs w:val="22"/>
        </w:rPr>
        <w:tab/>
      </w:r>
      <w:r w:rsidRPr="00C65E7D">
        <w:rPr>
          <w:rFonts w:ascii="Myriad Pro" w:eastAsia="Arial,Arial,Times New Roman" w:hAnsi="Myriad Pro" w:cs="Arial"/>
          <w:sz w:val="22"/>
          <w:szCs w:val="22"/>
        </w:rPr>
        <w:tab/>
      </w:r>
      <w:r w:rsidRPr="00C65E7D">
        <w:rPr>
          <w:rFonts w:ascii="Myriad Pro" w:hAnsi="Myriad Pro" w:cs="Arial"/>
          <w:bCs/>
          <w:i/>
          <w:color w:val="808080" w:themeColor="background1" w:themeShade="80"/>
          <w:sz w:val="22"/>
          <w:szCs w:val="22"/>
        </w:rPr>
        <w:t>doplnit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 w:rsidDel="008430B2">
        <w:rPr>
          <w:rFonts w:ascii="Myriad Pro" w:hAnsi="Myriad Pro" w:cs="Arial"/>
          <w:bCs/>
          <w:sz w:val="22"/>
          <w:szCs w:val="22"/>
        </w:rPr>
        <w:t xml:space="preserve"> </w:t>
      </w:r>
      <w:r w:rsidRPr="00C65E7D">
        <w:rPr>
          <w:rFonts w:ascii="Myriad Pro" w:hAnsi="Myriad Pro" w:cs="Arial"/>
          <w:bCs/>
          <w:sz w:val="22"/>
          <w:szCs w:val="22"/>
        </w:rPr>
        <w:t>(dále jen „</w:t>
      </w:r>
      <w:r w:rsidRPr="00C65E7D">
        <w:rPr>
          <w:rFonts w:ascii="Myriad Pro" w:hAnsi="Myriad Pro" w:cs="Arial"/>
          <w:b/>
          <w:bCs/>
          <w:sz w:val="22"/>
          <w:szCs w:val="22"/>
        </w:rPr>
        <w:t>prodávající</w:t>
      </w:r>
      <w:r w:rsidRPr="00C65E7D">
        <w:rPr>
          <w:rFonts w:ascii="Myriad Pro" w:hAnsi="Myriad Pro" w:cs="Arial"/>
          <w:bCs/>
          <w:sz w:val="22"/>
          <w:szCs w:val="22"/>
        </w:rPr>
        <w:t>“)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a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/>
          <w:sz w:val="22"/>
          <w:szCs w:val="22"/>
        </w:rPr>
      </w:pPr>
      <w:r w:rsidRPr="00C65E7D">
        <w:rPr>
          <w:rFonts w:ascii="Myriad Pro" w:hAnsi="Myriad Pro" w:cs="Arial"/>
          <w:b/>
          <w:sz w:val="22"/>
          <w:szCs w:val="22"/>
        </w:rPr>
        <w:t>Vysoká škola ekonomická v Praze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se sídlem: 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  <w:t>nám. W. Churchilla 4, 130 67 Praha 3 - Žižkov</w:t>
      </w:r>
      <w:r w:rsidRPr="00C65E7D">
        <w:rPr>
          <w:rFonts w:ascii="Myriad Pro" w:hAnsi="Myriad Pro" w:cs="Arial"/>
          <w:bCs/>
          <w:sz w:val="22"/>
          <w:szCs w:val="22"/>
        </w:rPr>
        <w:tab/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zastoupená: 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  <w:t>kvestor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veřejná vysoká škola zřízená zákonem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IČO: 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  <w:t>61384399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DIČ: </w:t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</w:r>
      <w:r w:rsidRPr="00C65E7D">
        <w:rPr>
          <w:rFonts w:ascii="Myriad Pro" w:hAnsi="Myriad Pro" w:cs="Arial"/>
          <w:bCs/>
          <w:sz w:val="22"/>
          <w:szCs w:val="22"/>
        </w:rPr>
        <w:tab/>
        <w:t>CZ61384399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eastAsia="Arial,Arial,Times New Roman" w:hAnsi="Myriad Pro" w:cs="Arial"/>
          <w:sz w:val="22"/>
          <w:szCs w:val="22"/>
        </w:rPr>
        <w:t xml:space="preserve">Bank. </w:t>
      </w:r>
      <w:proofErr w:type="gramStart"/>
      <w:r w:rsidRPr="00C65E7D">
        <w:rPr>
          <w:rFonts w:ascii="Myriad Pro" w:eastAsia="Arial,Arial,Times New Roman" w:hAnsi="Myriad Pro" w:cs="Arial"/>
          <w:sz w:val="22"/>
          <w:szCs w:val="22"/>
        </w:rPr>
        <w:t>spojení</w:t>
      </w:r>
      <w:proofErr w:type="gramEnd"/>
      <w:r w:rsidRPr="00C65E7D">
        <w:rPr>
          <w:rFonts w:ascii="Myriad Pro" w:eastAsia="Arial,Arial,Times New Roman" w:hAnsi="Myriad Pro" w:cs="Arial"/>
          <w:sz w:val="22"/>
          <w:szCs w:val="22"/>
        </w:rPr>
        <w:t xml:space="preserve">:   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Kontaktní osoba: </w:t>
      </w:r>
      <w:r w:rsidRPr="00C65E7D">
        <w:rPr>
          <w:rFonts w:ascii="Myriad Pro" w:hAnsi="Myriad Pro" w:cs="Arial"/>
          <w:bCs/>
          <w:sz w:val="22"/>
          <w:szCs w:val="22"/>
        </w:rPr>
        <w:tab/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(dále jen „</w:t>
      </w:r>
      <w:r w:rsidRPr="00C65E7D">
        <w:rPr>
          <w:rFonts w:ascii="Myriad Pro" w:hAnsi="Myriad Pro" w:cs="Arial"/>
          <w:b/>
          <w:bCs/>
          <w:sz w:val="22"/>
          <w:szCs w:val="22"/>
        </w:rPr>
        <w:t>kupující</w:t>
      </w:r>
      <w:r w:rsidRPr="00C65E7D">
        <w:rPr>
          <w:rFonts w:ascii="Myriad Pro" w:hAnsi="Myriad Pro" w:cs="Arial"/>
          <w:bCs/>
          <w:sz w:val="22"/>
          <w:szCs w:val="22"/>
        </w:rPr>
        <w:t>“),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(dále „smluvní strany“ nebo „strany“)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5156AF" w:rsidRDefault="008B67A2" w:rsidP="008B67A2">
      <w:pPr>
        <w:rPr>
          <w:rFonts w:ascii="Myriad Pro" w:hAnsi="Myriad Pro" w:cs="Arial"/>
          <w:b/>
          <w:szCs w:val="20"/>
        </w:rPr>
      </w:pPr>
    </w:p>
    <w:p w:rsidR="008B67A2" w:rsidRDefault="008B67A2" w:rsidP="008B67A2">
      <w:pPr>
        <w:rPr>
          <w:rFonts w:ascii="Myriad Pro" w:hAnsi="Myriad Pro" w:cs="Arial"/>
          <w:b/>
          <w:szCs w:val="20"/>
        </w:rPr>
      </w:pPr>
      <w:r>
        <w:rPr>
          <w:rFonts w:ascii="Myriad Pro" w:hAnsi="Myriad Pro" w:cs="Arial"/>
          <w:b/>
          <w:szCs w:val="20"/>
        </w:rPr>
        <w:br w:type="page"/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szCs w:val="20"/>
        </w:rPr>
      </w:pPr>
      <w:r w:rsidRPr="005156AF">
        <w:rPr>
          <w:rFonts w:ascii="Myriad Pro" w:hAnsi="Myriad Pro" w:cs="Arial"/>
          <w:b/>
          <w:szCs w:val="20"/>
        </w:rPr>
        <w:lastRenderedPageBreak/>
        <w:t>Preambule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C65E7D" w:rsidRDefault="008B67A2" w:rsidP="008B67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sz w:val="22"/>
          <w:szCs w:val="22"/>
        </w:rPr>
        <w:t>Smluvní strany uzavírají tuto smlouvu na základě výsledku zadávacího řízení vedeného pro veřejnou zakázku na dodávky ve zjednodušeném podlimitním řízení podle § 53 zákona č. 134/2016 Sb., o</w:t>
      </w:r>
      <w:r w:rsidRPr="00C65E7D">
        <w:rPr>
          <w:rFonts w:ascii="Myriad Pro" w:hAnsi="Myriad Pro"/>
          <w:sz w:val="22"/>
          <w:szCs w:val="22"/>
        </w:rPr>
        <w:t> </w:t>
      </w:r>
      <w:r w:rsidRPr="00C65E7D">
        <w:rPr>
          <w:rFonts w:ascii="Myriad Pro" w:hAnsi="Myriad Pro" w:cs="Arial"/>
          <w:sz w:val="22"/>
          <w:szCs w:val="22"/>
        </w:rPr>
        <w:t>zadávání veřejných zakázek (dále jen „ZVZZ“), v platném znění a vyhlášenou kupujícím jako zadavatelem pod názvem „Infrastruktura pro učebny – Diskové pole“, kdy nabídka prodávajícího byla kupujícím vybrána jako vítězná.</w:t>
      </w:r>
    </w:p>
    <w:p w:rsidR="008B67A2" w:rsidRPr="005156AF" w:rsidRDefault="008B67A2" w:rsidP="008B67A2">
      <w:pPr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rPr>
          <w:rFonts w:ascii="Myriad Pro" w:hAnsi="Myriad Pro" w:cs="Arial"/>
          <w:b/>
          <w:bCs/>
          <w:szCs w:val="20"/>
        </w:rPr>
      </w:pPr>
    </w:p>
    <w:p w:rsidR="008B67A2" w:rsidRPr="005156AF" w:rsidRDefault="008B67A2" w:rsidP="008B67A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Cs w:val="20"/>
        </w:rPr>
      </w:pPr>
      <w:r w:rsidRPr="005156AF">
        <w:rPr>
          <w:rFonts w:ascii="Myriad Pro" w:hAnsi="Myriad Pro" w:cs="Arial"/>
          <w:b/>
          <w:bCs/>
          <w:szCs w:val="20"/>
        </w:rPr>
        <w:t>Předmět smlouvy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sz w:val="22"/>
          <w:szCs w:val="22"/>
        </w:rPr>
        <w:t>Předmětem plnění je dodání diskového pole včetně obslužného software dle specifikace v příloze č. 1 (dále též „zboží“), jež tvoří nedílnou součást této smlouvy.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sz w:val="22"/>
          <w:szCs w:val="22"/>
        </w:rPr>
        <w:t>Kupující se zavazuje zaplatit cenu plnění sjednanou v čl. 4. odst. 4.1 této smlouvy.</w:t>
      </w:r>
    </w:p>
    <w:p w:rsidR="008B67A2" w:rsidRPr="005156AF" w:rsidRDefault="008B67A2" w:rsidP="008B67A2">
      <w:pPr>
        <w:spacing w:after="160" w:line="259" w:lineRule="auto"/>
        <w:rPr>
          <w:rFonts w:ascii="Myriad Pro" w:hAnsi="Myriad Pro" w:cs="Arial"/>
          <w:b/>
          <w:bCs/>
          <w:szCs w:val="20"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Cs w:val="20"/>
        </w:rPr>
      </w:pPr>
      <w:r w:rsidRPr="005156AF">
        <w:rPr>
          <w:rFonts w:ascii="Myriad Pro" w:hAnsi="Myriad Pro" w:cs="Arial"/>
          <w:b/>
          <w:bCs/>
          <w:szCs w:val="20"/>
        </w:rPr>
        <w:t>Dodací podmínky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Helvetica"/>
          <w:noProof/>
          <w:sz w:val="22"/>
          <w:szCs w:val="22"/>
        </w:rPr>
        <w:t>Pro dávající se zavazuje předat zboží do 4 týdnů od podpisu smlouvy. O předání bude sepsán Předávací protokol. Souhlas s obsahem Předávacího protokolu stvrdí obě strany podpisem</w:t>
      </w:r>
      <w:r w:rsidRPr="00C65E7D">
        <w:rPr>
          <w:rFonts w:ascii="Myriad Pro" w:hAnsi="Myriad Pro" w:cs="Arial"/>
          <w:sz w:val="22"/>
          <w:szCs w:val="22"/>
        </w:rPr>
        <w:t xml:space="preserve">.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Helvetica"/>
          <w:noProof/>
          <w:sz w:val="22"/>
          <w:szCs w:val="22"/>
        </w:rPr>
        <w:t>Následující dne po dni předání předmětu plnění počíná běžet lhůta kupujícího na kontrolu kompletnosti a funkčnosti předaného předmětu plnění v délce 10 pracovních dnů. O provedené kontrole bude sepsán Akceptační protokol. Souhlas s obsahem Akceptačního protokolu stvrdí obě strany podpisem.</w:t>
      </w:r>
    </w:p>
    <w:p w:rsidR="008B67A2" w:rsidRPr="001C795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Helvetica"/>
          <w:noProof/>
          <w:sz w:val="22"/>
          <w:szCs w:val="22"/>
        </w:rPr>
        <w:t>Akceptační protokol může obsahovat výhrady, které však musí být vypořádány do 1 měsíce od podpisu Akceptačního protokolu. V takovém případě, po vypořádání výhrad, musí být sepsán druhý Akceptační protokol, který osvědčí akceptaci bez výhrad.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Cs w:val="20"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szCs w:val="20"/>
        </w:rPr>
      </w:pPr>
      <w:r w:rsidRPr="005156AF">
        <w:rPr>
          <w:rFonts w:ascii="Myriad Pro" w:hAnsi="Myriad Pro" w:cs="Arial"/>
          <w:b/>
          <w:szCs w:val="20"/>
        </w:rPr>
        <w:t>Místo plnění</w:t>
      </w:r>
    </w:p>
    <w:p w:rsidR="008B67A2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Místem plnění je </w:t>
      </w:r>
      <w:r>
        <w:rPr>
          <w:rFonts w:ascii="Myriad Pro" w:hAnsi="Myriad Pro" w:cs="Arial"/>
          <w:bCs/>
          <w:sz w:val="22"/>
          <w:szCs w:val="22"/>
        </w:rPr>
        <w:t xml:space="preserve">Vysoká škola ekonomická v Praze, areál Jižní Město, </w:t>
      </w:r>
      <w:r w:rsidRPr="001C795D">
        <w:rPr>
          <w:rFonts w:ascii="Myriad Pro" w:hAnsi="Myriad Pro" w:cs="Arial"/>
          <w:bCs/>
          <w:sz w:val="22"/>
          <w:szCs w:val="22"/>
        </w:rPr>
        <w:t>Ekonomická 957, 140 00 Praha 4 - Jižní Město</w:t>
      </w:r>
      <w:r w:rsidRPr="00C65E7D">
        <w:rPr>
          <w:rFonts w:ascii="Myriad Pro" w:hAnsi="Myriad Pro" w:cs="Arial"/>
          <w:bCs/>
          <w:sz w:val="22"/>
          <w:szCs w:val="22"/>
        </w:rPr>
        <w:t>.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ab/>
      </w: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Cs w:val="20"/>
        </w:rPr>
      </w:pPr>
      <w:r w:rsidRPr="005156AF">
        <w:rPr>
          <w:rFonts w:ascii="Myriad Pro" w:hAnsi="Myriad Pro" w:cs="Arial"/>
          <w:b/>
          <w:bCs/>
          <w:szCs w:val="20"/>
        </w:rPr>
        <w:t>Cena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Cena za plnění dle této smlouvy se sjednává ve výši </w:t>
      </w:r>
      <w:r w:rsidRPr="00C65E7D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…doplnit.</w:t>
      </w:r>
      <w:r w:rsidRPr="00C65E7D">
        <w:rPr>
          <w:rFonts w:ascii="Myriad Pro" w:hAnsi="Myriad Pro" w:cs="Arial"/>
          <w:sz w:val="22"/>
          <w:szCs w:val="22"/>
        </w:rPr>
        <w:t xml:space="preserve"> </w:t>
      </w:r>
      <w:r w:rsidRPr="00C65E7D">
        <w:rPr>
          <w:rFonts w:ascii="Myriad Pro" w:hAnsi="Myriad Pro" w:cs="Arial"/>
          <w:bCs/>
          <w:sz w:val="22"/>
          <w:szCs w:val="22"/>
        </w:rPr>
        <w:t xml:space="preserve">Kč bez DPH, </w:t>
      </w:r>
      <w:proofErr w:type="gramStart"/>
      <w:r w:rsidRPr="00C65E7D">
        <w:rPr>
          <w:rFonts w:ascii="Myriad Pro" w:hAnsi="Myriad Pro" w:cs="Arial"/>
          <w:bCs/>
          <w:sz w:val="22"/>
          <w:szCs w:val="22"/>
        </w:rPr>
        <w:t xml:space="preserve">t.j. </w:t>
      </w:r>
      <w:r w:rsidRPr="00C65E7D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…</w:t>
      </w:r>
      <w:proofErr w:type="gramEnd"/>
      <w:r w:rsidRPr="00C65E7D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doplnit.</w:t>
      </w:r>
      <w:r w:rsidRPr="00C65E7D">
        <w:rPr>
          <w:rFonts w:ascii="Myriad Pro" w:hAnsi="Myriad Pro" w:cs="Arial"/>
          <w:sz w:val="22"/>
          <w:szCs w:val="22"/>
        </w:rPr>
        <w:t xml:space="preserve"> Kč </w:t>
      </w:r>
      <w:r w:rsidRPr="00C65E7D">
        <w:rPr>
          <w:rFonts w:ascii="Myriad Pro" w:hAnsi="Myriad Pro" w:cs="Arial"/>
          <w:bCs/>
          <w:sz w:val="22"/>
          <w:szCs w:val="22"/>
        </w:rPr>
        <w:t xml:space="preserve">s DPH a je uvedena v příloze č. 1, jež tvoří nedílnou součást této smlouvy. Tato cena je konečná a je v ní zahrnuta doprava zboží do místa plnění a odvoz nepotřebného materiálu a obalů. 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Cs w:val="20"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Cs w:val="20"/>
        </w:rPr>
      </w:pPr>
      <w:r w:rsidRPr="005156AF">
        <w:rPr>
          <w:rFonts w:ascii="Myriad Pro" w:hAnsi="Myriad Pro" w:cs="Arial"/>
          <w:b/>
          <w:bCs/>
          <w:szCs w:val="20"/>
        </w:rPr>
        <w:t>Platební podmínky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Kupující neposkytuje zálohy.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Sjednaná cena plnění bude placena na základě daňového dokladu vystaveného prodávajícím bez zbytečného odkladu po oboustranném potvrzení </w:t>
      </w:r>
      <w:r>
        <w:rPr>
          <w:rFonts w:ascii="Myriad Pro" w:hAnsi="Myriad Pro" w:cs="Arial"/>
          <w:bCs/>
          <w:sz w:val="22"/>
          <w:szCs w:val="22"/>
        </w:rPr>
        <w:t>Akceptačního</w:t>
      </w:r>
      <w:r w:rsidRPr="00C65E7D">
        <w:rPr>
          <w:rFonts w:ascii="Myriad Pro" w:hAnsi="Myriad Pro" w:cs="Arial"/>
          <w:bCs/>
          <w:sz w:val="22"/>
          <w:szCs w:val="22"/>
        </w:rPr>
        <w:t xml:space="preserve"> protokolu</w:t>
      </w:r>
      <w:r>
        <w:rPr>
          <w:rFonts w:ascii="Myriad Pro" w:hAnsi="Myriad Pro" w:cs="Arial"/>
          <w:bCs/>
          <w:sz w:val="22"/>
          <w:szCs w:val="22"/>
        </w:rPr>
        <w:t xml:space="preserve"> bez výhrad</w:t>
      </w:r>
      <w:r w:rsidRPr="00C65E7D">
        <w:rPr>
          <w:rFonts w:ascii="Myriad Pro" w:hAnsi="Myriad Pro" w:cs="Arial"/>
          <w:bCs/>
          <w:sz w:val="22"/>
          <w:szCs w:val="22"/>
        </w:rPr>
        <w:t>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lastRenderedPageBreak/>
        <w:t xml:space="preserve">Daňový doklad je splatný nejpozději do </w:t>
      </w:r>
      <w:r w:rsidRPr="00C65E7D">
        <w:rPr>
          <w:rFonts w:ascii="Myriad Pro" w:hAnsi="Myriad Pro" w:cs="Arial"/>
          <w:sz w:val="22"/>
          <w:szCs w:val="22"/>
        </w:rPr>
        <w:t>21</w:t>
      </w:r>
      <w:r w:rsidRPr="00C65E7D">
        <w:rPr>
          <w:rFonts w:ascii="Myriad Pro" w:hAnsi="Myriad Pro" w:cs="Arial"/>
          <w:bCs/>
          <w:sz w:val="22"/>
          <w:szCs w:val="22"/>
        </w:rPr>
        <w:t xml:space="preserve"> dnů po dni jeho doručení kupujícímu</w:t>
      </w:r>
      <w:r w:rsidRPr="00C65E7D">
        <w:rPr>
          <w:rFonts w:ascii="Myriad Pro" w:hAnsi="Myriad Pro" w:cs="Arial"/>
          <w:sz w:val="22"/>
          <w:szCs w:val="22"/>
        </w:rPr>
        <w:t xml:space="preserve">. </w:t>
      </w:r>
      <w:r w:rsidRPr="00C65E7D">
        <w:rPr>
          <w:rFonts w:ascii="Myriad Pro" w:hAnsi="Myriad Pro" w:cs="Arial"/>
          <w:bCs/>
          <w:sz w:val="22"/>
          <w:szCs w:val="22"/>
        </w:rPr>
        <w:t xml:space="preserve">Dnem uskutečnění zdanitelného plnění se pro účely této smlouvy rozumí den podpisu Předávacího protokolu. </w:t>
      </w:r>
      <w:r w:rsidRPr="00C65E7D">
        <w:rPr>
          <w:rFonts w:ascii="Myriad Pro" w:hAnsi="Myriad Pro" w:cs="Arial"/>
          <w:sz w:val="22"/>
          <w:szCs w:val="22"/>
        </w:rPr>
        <w:t>Termínem úhrady se rozumí den odepsání platby z účtu kupujícího ve prospěch účtu prodávajícího.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Kupující může do data splatnosti daňový doklad vrátit, obsahuje-li nesprávné cenové údaje či nesprávné cenové náležitosti, popř. chybí-li v daňovém dokladu některá z jeho zákonných náležitostí. Vrácením faktury přestává běžet původní lhůta splatnosti a začíná běžet znova ode dne doručení opravené nebo nové faktury.</w:t>
      </w:r>
    </w:p>
    <w:p w:rsidR="008B67A2" w:rsidRPr="005156AF" w:rsidRDefault="008B67A2" w:rsidP="008B67A2">
      <w:pPr>
        <w:rPr>
          <w:rFonts w:ascii="Myriad Pro" w:hAnsi="Myriad Pro" w:cs="Arial"/>
          <w:b/>
          <w:szCs w:val="20"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szCs w:val="20"/>
        </w:rPr>
      </w:pPr>
      <w:r w:rsidRPr="005156AF">
        <w:rPr>
          <w:rFonts w:ascii="Myriad Pro" w:hAnsi="Myriad Pro" w:cs="Arial"/>
          <w:b/>
          <w:szCs w:val="20"/>
        </w:rPr>
        <w:t>Práva a povinnosti smluvních stran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Prodávající je povinen splnit své povinnosti v souladu s touto smlouvou řádně a včas.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Prodávající je povinen sdělit kupujícímu v dostatečném předstihu, kdy proběhne dodávka v rámci stanovené doby plnění.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Kupující je povinen převzít zboží předané v souladu s touto smlouvou v dohodnuté době a místě plnění.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Kupující se zavazuje po předchozí dohodě umožnit přístup určeným pracovníkům prodávajícího do prostor svého objektu a v rámci svého spolupůsobení připraví pro prodávajícího vhodný prostor, ve kterém bude zboží předáno.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sz w:val="22"/>
          <w:szCs w:val="22"/>
        </w:rPr>
        <w:t>Kupující je osobou, na níž se vztahují povinnosti vyplývající ze zákona č. 340/2015 Sb., o registru smluv. Prodávající si je vědom následků této skutečnosti, tj. že smlouva bude uveřejněna v registru smluv.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Cs w:val="20"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Cs w:val="20"/>
        </w:rPr>
      </w:pPr>
      <w:r w:rsidRPr="005156AF">
        <w:rPr>
          <w:rFonts w:ascii="Myriad Pro" w:hAnsi="Myriad Pro" w:cs="Arial"/>
          <w:b/>
          <w:bCs/>
          <w:szCs w:val="20"/>
        </w:rPr>
        <w:t>Dodací podmínky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Dodavatel prohlašuje a odpovídá za to, že dodané zboží</w:t>
      </w:r>
      <w:r w:rsidRPr="00C65E7D">
        <w:rPr>
          <w:rFonts w:ascii="Myriad Pro" w:hAnsi="Myriad Pro" w:cs="Arial"/>
          <w:sz w:val="22"/>
          <w:szCs w:val="22"/>
        </w:rPr>
        <w:t xml:space="preserve"> je určené pro trh v České republice.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Dodavatel prohlašuje a odpovídá za to, že dodané zboží je nové a nepoužívané, odpovídá platné dokumentaci, předpisům výrobce a příslušným technickým normám České republiky.</w:t>
      </w:r>
      <w:r w:rsidRPr="00C65E7D">
        <w:rPr>
          <w:rFonts w:ascii="Myriad Pro" w:hAnsi="Myriad Pro" w:cs="Arial"/>
          <w:sz w:val="22"/>
          <w:szCs w:val="22"/>
        </w:rPr>
        <w:t xml:space="preserve">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O předání předmětu plnění bude sepsán Předávací protokol. Souhlas s obsahem Předávacího protokolu stvrdí obě strany podpisem.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Oboustranně podepsaný </w:t>
      </w:r>
      <w:r>
        <w:rPr>
          <w:rFonts w:ascii="Myriad Pro" w:hAnsi="Myriad Pro" w:cs="Arial"/>
          <w:bCs/>
          <w:sz w:val="22"/>
          <w:szCs w:val="22"/>
        </w:rPr>
        <w:t>Akceptační</w:t>
      </w:r>
      <w:r w:rsidRPr="00C65E7D">
        <w:rPr>
          <w:rFonts w:ascii="Myriad Pro" w:hAnsi="Myriad Pro" w:cs="Arial"/>
          <w:bCs/>
          <w:sz w:val="22"/>
          <w:szCs w:val="22"/>
        </w:rPr>
        <w:t xml:space="preserve"> protokol </w:t>
      </w:r>
      <w:r>
        <w:rPr>
          <w:rFonts w:ascii="Myriad Pro" w:hAnsi="Myriad Pro" w:cs="Arial"/>
          <w:bCs/>
          <w:sz w:val="22"/>
          <w:szCs w:val="22"/>
        </w:rPr>
        <w:t xml:space="preserve">bez výhrad </w:t>
      </w:r>
      <w:r w:rsidRPr="00C65E7D">
        <w:rPr>
          <w:rFonts w:ascii="Myriad Pro" w:hAnsi="Myriad Pro" w:cs="Arial"/>
          <w:bCs/>
          <w:sz w:val="22"/>
          <w:szCs w:val="22"/>
        </w:rPr>
        <w:t>je podmínkou pro vystavení faktury.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Myriad Pro" w:hAnsi="Myriad Pro" w:cs="Arial"/>
          <w:b/>
          <w:bCs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</w:rPr>
      </w:pPr>
      <w:r w:rsidRPr="005156AF">
        <w:rPr>
          <w:rFonts w:ascii="Myriad Pro" w:hAnsi="Myriad Pro" w:cs="Arial"/>
          <w:b/>
          <w:bCs/>
        </w:rPr>
        <w:t>Odpovědnost za vady, záruční doba a reklamace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V případě, že prodávající nesplní závazky z této smlouvy řádně, odpovídá za vady, a to jak faktické, tak právní, v souladu s příslušnými ustanoveními občanského zákoníku.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Prodávající prohlašuje, že předmětné zboží je a bude právně bezvadné, </w:t>
      </w:r>
      <w:proofErr w:type="gramStart"/>
      <w:r w:rsidRPr="00C65E7D">
        <w:rPr>
          <w:rFonts w:ascii="Myriad Pro" w:hAnsi="Myriad Pro" w:cs="Arial"/>
          <w:bCs/>
          <w:sz w:val="22"/>
          <w:szCs w:val="22"/>
        </w:rPr>
        <w:t>tzn. není</w:t>
      </w:r>
      <w:proofErr w:type="gramEnd"/>
      <w:r w:rsidRPr="00C65E7D">
        <w:rPr>
          <w:rFonts w:ascii="Myriad Pro" w:hAnsi="Myriad Pro" w:cs="Arial"/>
          <w:bCs/>
          <w:sz w:val="22"/>
          <w:szCs w:val="22"/>
        </w:rPr>
        <w:t xml:space="preserve"> a nebude zatíženo právem třetích osob.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Prodávající poskytuje kupujícímu záruční dobu na dodané zboží </w:t>
      </w:r>
      <w:r w:rsidRPr="00C65E7D">
        <w:rPr>
          <w:rFonts w:ascii="Myriad Pro" w:hAnsi="Myriad Pro" w:cs="Helvetica"/>
          <w:sz w:val="22"/>
          <w:szCs w:val="22"/>
        </w:rPr>
        <w:t xml:space="preserve">včetně programového vybavení </w:t>
      </w:r>
      <w:r w:rsidRPr="00C65E7D">
        <w:rPr>
          <w:rFonts w:ascii="Myriad Pro" w:hAnsi="Myriad Pro" w:cs="Arial"/>
          <w:bCs/>
          <w:sz w:val="22"/>
          <w:szCs w:val="22"/>
        </w:rPr>
        <w:t>60 měsíců</w:t>
      </w:r>
      <w:r w:rsidRPr="00C65E7D">
        <w:rPr>
          <w:rFonts w:ascii="Myriad Pro" w:hAnsi="Myriad Pro" w:cs="Helvetica"/>
          <w:sz w:val="22"/>
          <w:szCs w:val="22"/>
        </w:rPr>
        <w:t xml:space="preserve"> v režimu NBD s reakcí 30 min. od nahlášení pro úroveň požadavku „Kritický“ (tj. chyba, která znemožňuje chod systému).</w:t>
      </w:r>
      <w:r w:rsidRPr="00C65E7D">
        <w:rPr>
          <w:rFonts w:ascii="Myriad Pro" w:hAnsi="Myriad Pro" w:cs="Arial"/>
          <w:bCs/>
          <w:sz w:val="22"/>
          <w:szCs w:val="22"/>
        </w:rPr>
        <w:t xml:space="preserve">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Po celou dobu záruky budou zdarma poskytovány upgrady programového vybavení. Všechny náhradní či nahrazené díly, práce a cestovní náklady jsou bezplatné.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lastRenderedPageBreak/>
        <w:t xml:space="preserve">Záruční doba počíná běžet okamžikem podepsání Předávacího protokolu.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sz w:val="22"/>
          <w:szCs w:val="22"/>
        </w:rPr>
        <w:t>Záruka se nevztahuje na vady způsobené běžným opotřebením, nesprávnou obsluhou a vady způsobené vyšší mocí nebo třetími osobami odlišnými od prodávajícího nebo osob, s jejichž pomocí prodávající plnil svůj závazek.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/>
          <w:bCs/>
        </w:rPr>
      </w:pPr>
      <w:r w:rsidRPr="005156AF">
        <w:rPr>
          <w:rFonts w:ascii="Myriad Pro" w:hAnsi="Myriad Pro" w:cs="Arial"/>
          <w:b/>
          <w:bCs/>
        </w:rPr>
        <w:t xml:space="preserve">  </w:t>
      </w:r>
    </w:p>
    <w:p w:rsidR="008B67A2" w:rsidRDefault="008B67A2" w:rsidP="008B67A2">
      <w:pPr>
        <w:rPr>
          <w:rFonts w:ascii="Myriad Pro" w:hAnsi="Myriad Pro" w:cs="Arial"/>
          <w:b/>
          <w:bCs/>
        </w:rPr>
      </w:pPr>
      <w:r>
        <w:rPr>
          <w:rFonts w:ascii="Myriad Pro" w:hAnsi="Myriad Pro" w:cs="Arial"/>
          <w:b/>
          <w:bCs/>
        </w:rPr>
        <w:br w:type="page"/>
      </w: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</w:rPr>
      </w:pPr>
      <w:r w:rsidRPr="005156AF">
        <w:rPr>
          <w:rFonts w:ascii="Myriad Pro" w:hAnsi="Myriad Pro" w:cs="Arial"/>
          <w:b/>
          <w:bCs/>
        </w:rPr>
        <w:lastRenderedPageBreak/>
        <w:t>Odstoupení od smlouvy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 xml:space="preserve">Smluvní strany jsou oprávněny odstoupit od této smlouvy z důvodů níže definovaného podstatného porušení této smlouvy a dále z důvodů ve smyslu příslušných ustanovení občanského zákoníku, pokud podstatné porušení této smlouvy, které </w:t>
      </w:r>
      <w:proofErr w:type="gramStart"/>
      <w:r w:rsidRPr="00C65E7D">
        <w:rPr>
          <w:rFonts w:ascii="Myriad Pro" w:hAnsi="Myriad Pro" w:cs="Arial"/>
          <w:bCs/>
          <w:sz w:val="22"/>
          <w:szCs w:val="22"/>
        </w:rPr>
        <w:t>je</w:t>
      </w:r>
      <w:proofErr w:type="gramEnd"/>
      <w:r w:rsidRPr="00C65E7D">
        <w:rPr>
          <w:rFonts w:ascii="Myriad Pro" w:hAnsi="Myriad Pro" w:cs="Arial"/>
          <w:bCs/>
          <w:sz w:val="22"/>
          <w:szCs w:val="22"/>
        </w:rPr>
        <w:t xml:space="preserve"> důvodem pro odstoupení od smlouvy nebylo způsobeno okolnostmi vylučujícími odpovědnost:</w:t>
      </w:r>
    </w:p>
    <w:p w:rsidR="008B67A2" w:rsidRPr="00C65E7D" w:rsidRDefault="008B67A2" w:rsidP="008B67A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Podstatným porušením této smlouvy prodávajícím se zejména rozumí opakující se zcela zjevné vady předmětu smlouvy v záruční lhůtě, které prodávající nebyl schopen odstranit, a to ani po opakovaném písemném upozornění kupujícím.</w:t>
      </w:r>
    </w:p>
    <w:p w:rsidR="008B67A2" w:rsidRPr="00C65E7D" w:rsidRDefault="008B67A2" w:rsidP="008B67A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Podstatným porušením této smlouvy kupujícím se zejména rozumí řádné neuhrazení sjednané ceny, a to ani po opakovaném písemném upozornění prodávajícím.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14" w:hanging="357"/>
        <w:jc w:val="center"/>
        <w:textAlignment w:val="baseline"/>
        <w:rPr>
          <w:rFonts w:ascii="Myriad Pro" w:hAnsi="Myriad Pro" w:cs="Arial"/>
          <w:b/>
          <w:bCs/>
        </w:rPr>
      </w:pPr>
      <w:r w:rsidRPr="005156AF">
        <w:rPr>
          <w:rFonts w:ascii="Myriad Pro" w:hAnsi="Myriad Pro" w:cs="Arial"/>
          <w:b/>
          <w:bCs/>
        </w:rPr>
        <w:t>Sankce z prodlení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24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proofErr w:type="gramStart"/>
      <w:r w:rsidRPr="00C65E7D">
        <w:rPr>
          <w:rFonts w:ascii="Myriad Pro" w:hAnsi="Myriad Pro" w:cs="Arial"/>
          <w:bCs/>
          <w:sz w:val="22"/>
          <w:szCs w:val="22"/>
        </w:rPr>
        <w:t>Je</w:t>
      </w:r>
      <w:proofErr w:type="gramEnd"/>
      <w:r w:rsidRPr="00C65E7D">
        <w:rPr>
          <w:rFonts w:ascii="Myriad Pro" w:hAnsi="Myriad Pro" w:cs="Arial"/>
          <w:bCs/>
          <w:sz w:val="22"/>
          <w:szCs w:val="22"/>
        </w:rPr>
        <w:t>–</w:t>
      </w:r>
      <w:proofErr w:type="spellStart"/>
      <w:proofErr w:type="gramStart"/>
      <w:r w:rsidRPr="00C65E7D">
        <w:rPr>
          <w:rFonts w:ascii="Myriad Pro" w:hAnsi="Myriad Pro" w:cs="Arial"/>
          <w:bCs/>
          <w:sz w:val="22"/>
          <w:szCs w:val="22"/>
        </w:rPr>
        <w:t>li</w:t>
      </w:r>
      <w:proofErr w:type="spellEnd"/>
      <w:proofErr w:type="gramEnd"/>
      <w:r w:rsidRPr="00C65E7D">
        <w:rPr>
          <w:rFonts w:ascii="Myriad Pro" w:hAnsi="Myriad Pro" w:cs="Arial"/>
          <w:bCs/>
          <w:sz w:val="22"/>
          <w:szCs w:val="22"/>
        </w:rPr>
        <w:t xml:space="preserve"> prodávající v prodlení s plněním této smlouvy, je kupující oprávněn požadovat po prodávajícím smluvní pokutu ve výši 0,01% z ceny nedodaného zboží za každý den prodlení. 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C65E7D">
        <w:rPr>
          <w:rFonts w:ascii="Myriad Pro" w:hAnsi="Myriad Pro" w:cs="Arial"/>
          <w:bCs/>
          <w:sz w:val="22"/>
          <w:szCs w:val="22"/>
        </w:rPr>
        <w:t>Je-li kupující v prodlení s placením faktury, je prodávající oprávněn účtovat kupujícímu úrok z prodlení ve výši 0,01% z dlužné částky za každý započatý den prodlení a kupující je povinen úrok z prodlení uhradit.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Myriad Pro" w:hAnsi="Myriad Pro" w:cs="Arial"/>
          <w:b/>
          <w:bCs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</w:rPr>
      </w:pPr>
      <w:r w:rsidRPr="005156AF">
        <w:rPr>
          <w:rFonts w:ascii="Myriad Pro" w:hAnsi="Myriad Pro" w:cs="Arial"/>
          <w:b/>
          <w:bCs/>
        </w:rPr>
        <w:t>Nabytí vlastnického práva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240"/>
        <w:ind w:left="1077"/>
        <w:jc w:val="both"/>
        <w:textAlignment w:val="baseline"/>
        <w:rPr>
          <w:rFonts w:ascii="Myriad Pro" w:hAnsi="Myriad Pro" w:cs="Arial"/>
          <w:snapToGrid w:val="0"/>
          <w:sz w:val="22"/>
          <w:szCs w:val="22"/>
        </w:rPr>
      </w:pPr>
      <w:r w:rsidRPr="00C65E7D">
        <w:rPr>
          <w:rFonts w:ascii="Myriad Pro" w:hAnsi="Myriad Pro" w:cs="Arial"/>
          <w:snapToGrid w:val="0"/>
          <w:sz w:val="22"/>
          <w:szCs w:val="22"/>
        </w:rPr>
        <w:t>K nabytí vlastnického práva kupujícím dochází dnem připsání fakturované ceny zboží na účet prodávajícího.</w:t>
      </w:r>
    </w:p>
    <w:p w:rsidR="008B67A2" w:rsidRPr="005156AF" w:rsidRDefault="008B67A2" w:rsidP="008B67A2">
      <w:pPr>
        <w:rPr>
          <w:rFonts w:ascii="Myriad Pro" w:eastAsia="Arial,Arial,Times New Roman" w:hAnsi="Myriad Pro" w:cs="Arial"/>
          <w:b/>
          <w:snapToGrid w:val="0"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eastAsia="Arial,Arial,Times New Roman" w:hAnsi="Myriad Pro" w:cs="Arial"/>
          <w:b/>
          <w:snapToGrid w:val="0"/>
        </w:rPr>
      </w:pPr>
      <w:r w:rsidRPr="005156AF">
        <w:rPr>
          <w:rFonts w:ascii="Myriad Pro" w:eastAsia="Arial,Arial,Times New Roman" w:hAnsi="Myriad Pro" w:cs="Arial"/>
          <w:b/>
          <w:snapToGrid w:val="0"/>
        </w:rPr>
        <w:t>Přechod nebezpečí škody na zboží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240"/>
        <w:ind w:left="1077"/>
        <w:jc w:val="both"/>
        <w:textAlignment w:val="baseline"/>
        <w:rPr>
          <w:rFonts w:ascii="Myriad Pro" w:hAnsi="Myriad Pro" w:cs="Arial"/>
          <w:bCs/>
          <w:snapToGrid w:val="0"/>
          <w:sz w:val="22"/>
          <w:szCs w:val="22"/>
        </w:rPr>
      </w:pPr>
      <w:r w:rsidRPr="00C65E7D">
        <w:rPr>
          <w:rFonts w:ascii="Myriad Pro" w:hAnsi="Myriad Pro" w:cs="Arial"/>
          <w:bCs/>
          <w:snapToGrid w:val="0"/>
          <w:sz w:val="22"/>
          <w:szCs w:val="22"/>
        </w:rPr>
        <w:t xml:space="preserve">Nebezpečí škody na zboží přechází na kupujícího podpisem </w:t>
      </w:r>
      <w:r>
        <w:rPr>
          <w:rFonts w:ascii="Myriad Pro" w:hAnsi="Myriad Pro" w:cs="Arial"/>
          <w:bCs/>
          <w:snapToGrid w:val="0"/>
          <w:sz w:val="22"/>
          <w:szCs w:val="22"/>
        </w:rPr>
        <w:t>P</w:t>
      </w:r>
      <w:r w:rsidRPr="00C65E7D">
        <w:rPr>
          <w:rFonts w:ascii="Myriad Pro" w:hAnsi="Myriad Pro" w:cs="Arial"/>
          <w:bCs/>
          <w:snapToGrid w:val="0"/>
          <w:sz w:val="22"/>
          <w:szCs w:val="22"/>
        </w:rPr>
        <w:t>ředávacího protokolu.</w:t>
      </w:r>
    </w:p>
    <w:p w:rsidR="008B67A2" w:rsidRPr="00C65E7D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 w:val="22"/>
          <w:szCs w:val="22"/>
        </w:rPr>
      </w:pPr>
    </w:p>
    <w:p w:rsidR="008B67A2" w:rsidRPr="005156AF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eastAsia="Arial,Arial,Times New Roman" w:hAnsi="Myriad Pro" w:cs="Arial"/>
          <w:b/>
        </w:rPr>
      </w:pPr>
      <w:r w:rsidRPr="005156AF">
        <w:rPr>
          <w:rFonts w:ascii="Myriad Pro" w:eastAsia="Arial,Arial,Times New Roman" w:hAnsi="Myriad Pro" w:cs="Arial"/>
          <w:b/>
        </w:rPr>
        <w:t>Řešení sporů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24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hAnsi="Myriad Pro" w:cs="Arial"/>
          <w:sz w:val="22"/>
          <w:szCs w:val="22"/>
        </w:rPr>
        <w:t>Všechny spory, které by mohly vzniknout z této smlouvy nebo v souvislosti s ní, budou primárně řešeny formou dohody na úrovni oprávněných zástupců obou smluvních stran. O těchto jednáních bude vždy vyhotoven písemný zápis podepsaný oprávněnými zástupci obou smluvních stran.</w:t>
      </w:r>
    </w:p>
    <w:p w:rsidR="008B67A2" w:rsidRPr="00C65E7D" w:rsidRDefault="008B67A2" w:rsidP="008B67A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107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C65E7D">
        <w:rPr>
          <w:rFonts w:ascii="Myriad Pro" w:eastAsia="Arial,Times New Roman" w:hAnsi="Myriad Pro" w:cs="Arial"/>
          <w:sz w:val="22"/>
          <w:szCs w:val="22"/>
        </w:rPr>
        <w:t xml:space="preserve">Nedojde-li do 60 dní od začátku jednání podle odst. 1 této smlouvy k dohodě mezi </w:t>
      </w:r>
      <w:r w:rsidRPr="00C65E7D">
        <w:rPr>
          <w:rFonts w:ascii="Myriad Pro" w:hAnsi="Myriad Pro" w:cs="Arial"/>
          <w:sz w:val="22"/>
          <w:szCs w:val="22"/>
        </w:rPr>
        <w:t>smluvními stranami, bude příslušný spor, který vznikl z této smlouvy nebo v souvislosti s ní, rozhodován místně a věcně příslušným obecným soudem strany žalující.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Myriad Pro" w:hAnsi="Myriad Pro" w:cs="Arial"/>
          <w:szCs w:val="20"/>
        </w:rPr>
      </w:pPr>
    </w:p>
    <w:p w:rsidR="008B67A2" w:rsidRDefault="008B67A2" w:rsidP="008B67A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eastAsia="Arial,Arial,Times New Roman" w:hAnsi="Myriad Pro" w:cs="Arial"/>
          <w:b/>
        </w:rPr>
      </w:pPr>
      <w:r w:rsidRPr="005156AF">
        <w:rPr>
          <w:rFonts w:ascii="Myriad Pro" w:eastAsia="Arial,Arial,Times New Roman" w:hAnsi="Myriad Pro" w:cs="Arial"/>
          <w:b/>
        </w:rPr>
        <w:t>Závěrečná ustanovení</w:t>
      </w:r>
    </w:p>
    <w:p w:rsidR="00992A82" w:rsidRDefault="00992A82" w:rsidP="00992A82">
      <w:pPr>
        <w:autoSpaceDE w:val="0"/>
        <w:autoSpaceDN w:val="0"/>
        <w:adjustRightInd w:val="0"/>
        <w:rPr>
          <w:rFonts w:ascii="Myriad Pro" w:eastAsia="Arial,Arial,Times New Roman" w:hAnsi="Myriad Pro" w:cs="Arial"/>
          <w:b/>
        </w:rPr>
      </w:pPr>
    </w:p>
    <w:p w:rsidR="00992A82" w:rsidRPr="00E67541" w:rsidRDefault="00992A82" w:rsidP="00E6754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E67541">
        <w:rPr>
          <w:rFonts w:ascii="ArialMT" w:eastAsiaTheme="minorHAnsi" w:hAnsi="ArialMT" w:cs="ArialMT"/>
          <w:sz w:val="22"/>
          <w:szCs w:val="22"/>
          <w:lang w:eastAsia="en-US"/>
        </w:rPr>
        <w:t>Smlouva nabývá platnosti dnem podpisu oběma smluvními stranami. Smlouva</w:t>
      </w:r>
    </w:p>
    <w:p w:rsidR="00992A82" w:rsidRDefault="00992A82" w:rsidP="00E67541">
      <w:pPr>
        <w:autoSpaceDE w:val="0"/>
        <w:autoSpaceDN w:val="0"/>
        <w:adjustRightInd w:val="0"/>
        <w:ind w:left="372" w:firstLine="70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nabývá účinnosti uveřejněním v registru smluv.</w:t>
      </w:r>
    </w:p>
    <w:p w:rsidR="00E67541" w:rsidRDefault="00E67541" w:rsidP="00E67541">
      <w:pPr>
        <w:autoSpaceDE w:val="0"/>
        <w:autoSpaceDN w:val="0"/>
        <w:adjustRightInd w:val="0"/>
        <w:ind w:left="372" w:firstLine="708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992A82" w:rsidRDefault="00992A82" w:rsidP="00E67541">
      <w:pPr>
        <w:autoSpaceDE w:val="0"/>
        <w:autoSpaceDN w:val="0"/>
        <w:adjustRightInd w:val="0"/>
        <w:ind w:firstLine="372"/>
        <w:rPr>
          <w:rFonts w:ascii="ArialMT" w:eastAsiaTheme="minorHAnsi" w:hAnsi="ArialMT" w:cs="ArialMT"/>
          <w:sz w:val="22"/>
          <w:szCs w:val="22"/>
          <w:lang w:eastAsia="en-US"/>
        </w:rPr>
      </w:pP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14.2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E67541">
        <w:rPr>
          <w:rFonts w:ascii="ArialMT" w:eastAsiaTheme="minorHAnsi" w:hAnsi="ArialMT" w:cs="ArialMT"/>
          <w:sz w:val="22"/>
          <w:szCs w:val="22"/>
          <w:lang w:eastAsia="en-US"/>
        </w:rPr>
        <w:t xml:space="preserve">  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Jakékoli změny této smlouvy, které zákon o zadávání veřejných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zakázek</w:t>
      </w:r>
      <w:proofErr w:type="gramEnd"/>
    </w:p>
    <w:p w:rsidR="00992A82" w:rsidRDefault="00E67541" w:rsidP="00E67541">
      <w:pPr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 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>umožňuje, je možné činit pouze písemně, a to formou dodatků číslovaných</w:t>
      </w:r>
    </w:p>
    <w:p w:rsidR="00992A82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 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>vzestupně a podepsaných oprávněnými zástupci obou smluvních stran.</w:t>
      </w:r>
    </w:p>
    <w:p w:rsidR="00E67541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E67541" w:rsidRPr="00E67541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proofErr w:type="gramStart"/>
      <w:r w:rsidRPr="00E67541">
        <w:rPr>
          <w:rFonts w:ascii="ArialMT" w:eastAsiaTheme="minorHAnsi" w:hAnsi="ArialMT" w:cs="ArialMT"/>
          <w:sz w:val="22"/>
          <w:szCs w:val="22"/>
          <w:lang w:eastAsia="en-US"/>
        </w:rPr>
        <w:t>14.3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</w:t>
      </w:r>
      <w:r w:rsidR="00992A82" w:rsidRPr="00E67541">
        <w:rPr>
          <w:rFonts w:ascii="ArialMT" w:eastAsiaTheme="minorHAnsi" w:hAnsi="ArialMT" w:cs="ArialMT"/>
          <w:sz w:val="22"/>
          <w:szCs w:val="22"/>
          <w:lang w:eastAsia="en-US"/>
        </w:rPr>
        <w:t>Pokud</w:t>
      </w:r>
      <w:proofErr w:type="gramEnd"/>
      <w:r w:rsidR="00992A82" w:rsidRPr="00E67541">
        <w:rPr>
          <w:rFonts w:ascii="ArialMT" w:eastAsiaTheme="minorHAnsi" w:hAnsi="ArialMT" w:cs="ArialMT"/>
          <w:sz w:val="22"/>
          <w:szCs w:val="22"/>
          <w:lang w:eastAsia="en-US"/>
        </w:rPr>
        <w:t xml:space="preserve"> se některé z ustanovení této smlouvy stane neplatným, není tím </w:t>
      </w:r>
    </w:p>
    <w:p w:rsidR="00E67541" w:rsidRDefault="00E67541" w:rsidP="00E67541">
      <w:pPr>
        <w:autoSpaceDE w:val="0"/>
        <w:autoSpaceDN w:val="0"/>
        <w:adjustRightInd w:val="0"/>
        <w:ind w:left="708" w:firstLine="34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d</w:t>
      </w:r>
      <w:r w:rsidR="00992A82" w:rsidRPr="00E67541">
        <w:rPr>
          <w:rFonts w:ascii="ArialMT" w:eastAsiaTheme="minorHAnsi" w:hAnsi="ArialMT" w:cs="ArialMT"/>
          <w:sz w:val="22"/>
          <w:szCs w:val="22"/>
          <w:lang w:eastAsia="en-US"/>
        </w:rPr>
        <w:t>otčena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 xml:space="preserve">platnost ostatních ustanovení této smlouvy ani platnost smlouvy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</w:t>
      </w:r>
    </w:p>
    <w:p w:rsidR="00E67541" w:rsidRDefault="00E67541" w:rsidP="00E67541">
      <w:pPr>
        <w:autoSpaceDE w:val="0"/>
        <w:autoSpaceDN w:val="0"/>
        <w:adjustRightInd w:val="0"/>
        <w:ind w:left="708" w:firstLine="34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 xml:space="preserve">jakožto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celku.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 xml:space="preserve">V takovém případě bude neplatné ustanovení nahrazeno </w:t>
      </w:r>
    </w:p>
    <w:p w:rsidR="00E67541" w:rsidRDefault="00E67541" w:rsidP="00E67541">
      <w:pPr>
        <w:autoSpaceDE w:val="0"/>
        <w:autoSpaceDN w:val="0"/>
        <w:adjustRightInd w:val="0"/>
        <w:ind w:left="708" w:firstLine="34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ustanovením jiným, jež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 xml:space="preserve">bude svým účinkem co nejblíže původnímu účelu </w:t>
      </w:r>
    </w:p>
    <w:p w:rsidR="00992A82" w:rsidRDefault="00E67541" w:rsidP="00E67541">
      <w:pPr>
        <w:autoSpaceDE w:val="0"/>
        <w:autoSpaceDN w:val="0"/>
        <w:adjustRightInd w:val="0"/>
        <w:ind w:left="708" w:firstLine="34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>neplatného ustanovení.</w:t>
      </w:r>
    </w:p>
    <w:p w:rsidR="00E67541" w:rsidRDefault="00E67541" w:rsidP="00E67541">
      <w:pPr>
        <w:autoSpaceDE w:val="0"/>
        <w:autoSpaceDN w:val="0"/>
        <w:adjustRightInd w:val="0"/>
        <w:ind w:left="708" w:firstLine="348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E67541" w:rsidRDefault="00992A82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14.4 </w:t>
      </w:r>
      <w:r w:rsidR="00E67541">
        <w:rPr>
          <w:rFonts w:ascii="ArialMT" w:eastAsiaTheme="minorHAnsi" w:hAnsi="ArialMT" w:cs="ArialMT"/>
          <w:sz w:val="22"/>
          <w:szCs w:val="22"/>
          <w:lang w:eastAsia="en-US"/>
        </w:rPr>
        <w:t xml:space="preserve"> 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Tato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smlouva se spravuje českým právním řádem. Otázky výslovně </w:t>
      </w:r>
    </w:p>
    <w:p w:rsidR="00992A82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ab/>
        <w:t>N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>eupravené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>v této smlouvě se řídí občanským zákoníkem.</w:t>
      </w:r>
    </w:p>
    <w:p w:rsidR="00E67541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E67541" w:rsidRDefault="00992A82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14.5 </w:t>
      </w:r>
      <w:r w:rsidR="00E67541">
        <w:rPr>
          <w:rFonts w:ascii="ArialMT" w:eastAsiaTheme="minorHAnsi" w:hAnsi="ArialMT" w:cs="ArialMT"/>
          <w:sz w:val="22"/>
          <w:szCs w:val="22"/>
          <w:lang w:eastAsia="en-US"/>
        </w:rPr>
        <w:t xml:space="preserve"> 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Smlouva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je sepsána ve dvou vyhotoveních, z nichž každá strana obdrží po </w:t>
      </w:r>
    </w:p>
    <w:p w:rsidR="00E67541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ab/>
        <w:t>J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>ednom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 xml:space="preserve">vyhotovení. Smluvní strany prohlašují, že tuto smlouvu uzavřely </w:t>
      </w:r>
    </w:p>
    <w:p w:rsidR="00E67541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ab/>
        <w:t xml:space="preserve">svobodně a </w:t>
      </w:r>
      <w:r w:rsidR="00992A82">
        <w:rPr>
          <w:rFonts w:ascii="ArialMT" w:eastAsiaTheme="minorHAnsi" w:hAnsi="ArialMT" w:cs="ArialMT"/>
          <w:sz w:val="22"/>
          <w:szCs w:val="22"/>
          <w:lang w:eastAsia="en-US"/>
        </w:rPr>
        <w:t>vážně, nikoli v tísni či za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jinak nápadně nevýhodných podmínek, </w:t>
      </w:r>
    </w:p>
    <w:p w:rsidR="008B67A2" w:rsidRPr="00E67541" w:rsidRDefault="00E67541" w:rsidP="00E67541">
      <w:pPr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ab/>
      </w:r>
      <w:bookmarkStart w:id="25" w:name="_GoBack"/>
      <w:bookmarkEnd w:id="25"/>
      <w:r>
        <w:rPr>
          <w:rFonts w:ascii="ArialMT" w:eastAsiaTheme="minorHAnsi" w:hAnsi="ArialMT" w:cs="ArialMT"/>
          <w:sz w:val="22"/>
          <w:szCs w:val="22"/>
          <w:lang w:eastAsia="en-US"/>
        </w:rPr>
        <w:t>na důkaz čehož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připojují své podpisy.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/>
          <w:szCs w:val="20"/>
          <w:u w:val="single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/>
          <w:szCs w:val="20"/>
          <w:u w:val="single"/>
        </w:rPr>
      </w:pPr>
      <w:r w:rsidRPr="005156AF">
        <w:rPr>
          <w:rFonts w:ascii="Myriad Pro" w:hAnsi="Myriad Pro" w:cs="Arial"/>
          <w:b/>
          <w:szCs w:val="20"/>
          <w:u w:val="single"/>
        </w:rPr>
        <w:t>Seznam příloh: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Cs/>
          <w:szCs w:val="20"/>
        </w:rPr>
      </w:pPr>
      <w:r w:rsidRPr="005156AF">
        <w:rPr>
          <w:rFonts w:ascii="Myriad Pro" w:hAnsi="Myriad Pro" w:cs="Arial"/>
          <w:bCs/>
          <w:szCs w:val="20"/>
        </w:rPr>
        <w:t xml:space="preserve">Příloha č. 1: Specifikace předmětu smlouvy. 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  <w:sectPr w:rsidR="008B67A2" w:rsidRPr="005156AF" w:rsidSect="00992A82">
          <w:pgSz w:w="11906" w:h="16838"/>
          <w:pgMar w:top="1238" w:right="1440" w:bottom="1440" w:left="1440" w:header="567" w:footer="708" w:gutter="0"/>
          <w:cols w:space="708"/>
          <w:titlePg/>
          <w:docGrid w:linePitch="360"/>
        </w:sect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  <w:r w:rsidRPr="005156AF">
        <w:rPr>
          <w:rFonts w:ascii="Myriad Pro" w:hAnsi="Myriad Pro" w:cs="Arial"/>
          <w:szCs w:val="20"/>
        </w:rPr>
        <w:lastRenderedPageBreak/>
        <w:t>Za prodávajícího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  <w:r w:rsidRPr="005156AF">
        <w:rPr>
          <w:rFonts w:ascii="Myriad Pro" w:eastAsia="Arial,Times New Roman" w:hAnsi="Myriad Pro" w:cs="Arial"/>
        </w:rPr>
        <w:t xml:space="preserve">V Praze, dne 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  <w:r w:rsidRPr="005156AF">
        <w:rPr>
          <w:rFonts w:ascii="Myriad Pro" w:hAnsi="Myriad Pro" w:cs="Arial"/>
          <w:szCs w:val="20"/>
        </w:rPr>
        <w:t>…………………………………………..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b/>
          <w:szCs w:val="20"/>
        </w:rPr>
      </w:pPr>
      <w:r w:rsidRPr="005156AF">
        <w:rPr>
          <w:rFonts w:ascii="Myriad Pro" w:hAnsi="Myriad Pro" w:cs="Arial"/>
          <w:b/>
          <w:szCs w:val="20"/>
        </w:rPr>
        <w:t xml:space="preserve"> 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  <w:r w:rsidRPr="005156AF">
        <w:rPr>
          <w:rFonts w:ascii="Myriad Pro" w:hAnsi="Myriad Pro" w:cs="Arial"/>
          <w:szCs w:val="20"/>
        </w:rPr>
        <w:t xml:space="preserve"> 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  <w:r w:rsidRPr="005156AF">
        <w:rPr>
          <w:rFonts w:ascii="Myriad Pro" w:hAnsi="Myriad Pro" w:cs="Arial"/>
          <w:szCs w:val="20"/>
        </w:rPr>
        <w:t>Za kupujícího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  <w:r w:rsidRPr="005156AF">
        <w:rPr>
          <w:rFonts w:ascii="Myriad Pro" w:hAnsi="Myriad Pro" w:cs="Arial"/>
          <w:szCs w:val="20"/>
        </w:rPr>
        <w:t>V Praze, dne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szCs w:val="20"/>
        </w:rPr>
      </w:pPr>
      <w:r w:rsidRPr="005156AF">
        <w:rPr>
          <w:rFonts w:ascii="Myriad Pro" w:hAnsi="Myriad Pro" w:cs="Arial"/>
          <w:szCs w:val="20"/>
        </w:rPr>
        <w:t>……………………………………………</w:t>
      </w: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i/>
          <w:szCs w:val="20"/>
        </w:rPr>
      </w:pPr>
    </w:p>
    <w:p w:rsidR="008B67A2" w:rsidRPr="005156AF" w:rsidRDefault="008B67A2" w:rsidP="008B67A2">
      <w:pPr>
        <w:overflowPunct w:val="0"/>
        <w:autoSpaceDE w:val="0"/>
        <w:autoSpaceDN w:val="0"/>
        <w:adjustRightInd w:val="0"/>
        <w:textAlignment w:val="baseline"/>
        <w:rPr>
          <w:rFonts w:ascii="Myriad Pro" w:hAnsi="Myriad Pro" w:cs="Arial"/>
          <w:i/>
          <w:szCs w:val="20"/>
        </w:rPr>
        <w:sectPr w:rsidR="008B67A2" w:rsidRPr="005156AF" w:rsidSect="00992A82">
          <w:type w:val="continuous"/>
          <w:pgSz w:w="11906" w:h="16838"/>
          <w:pgMar w:top="848" w:right="1440" w:bottom="1440" w:left="1440" w:header="567" w:footer="708" w:gutter="0"/>
          <w:cols w:num="2" w:space="708"/>
          <w:titlePg/>
          <w:docGrid w:linePitch="360"/>
        </w:sectPr>
      </w:pPr>
    </w:p>
    <w:p w:rsidR="008B67A2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eastAsia="Arial,Times New Roman" w:hAnsi="Myriad Pro" w:cs="Arial"/>
          <w:b/>
          <w:bCs/>
        </w:rPr>
      </w:pPr>
      <w:r w:rsidRPr="005156AF">
        <w:rPr>
          <w:rFonts w:ascii="Myriad Pro" w:eastAsia="Arial,Times New Roman" w:hAnsi="Myriad Pro" w:cs="Arial"/>
          <w:b/>
          <w:bCs/>
        </w:rPr>
        <w:lastRenderedPageBreak/>
        <w:t xml:space="preserve">Příloha č. 1: </w:t>
      </w:r>
      <w:r>
        <w:rPr>
          <w:rFonts w:ascii="Myriad Pro" w:eastAsia="Arial,Times New Roman" w:hAnsi="Myriad Pro" w:cs="Arial"/>
          <w:b/>
          <w:bCs/>
        </w:rPr>
        <w:t>Specifikace p</w:t>
      </w:r>
      <w:r w:rsidRPr="005156AF">
        <w:rPr>
          <w:rFonts w:ascii="Myriad Pro" w:eastAsia="Arial,Times New Roman" w:hAnsi="Myriad Pro" w:cs="Arial"/>
          <w:b/>
          <w:bCs/>
        </w:rPr>
        <w:t>ředmět</w:t>
      </w:r>
      <w:r>
        <w:rPr>
          <w:rFonts w:ascii="Myriad Pro" w:eastAsia="Arial,Times New Roman" w:hAnsi="Myriad Pro" w:cs="Arial"/>
          <w:b/>
          <w:bCs/>
        </w:rPr>
        <w:t>u</w:t>
      </w:r>
      <w:r w:rsidRPr="005156AF">
        <w:rPr>
          <w:rFonts w:ascii="Myriad Pro" w:eastAsia="Arial,Times New Roman" w:hAnsi="Myriad Pro" w:cs="Arial"/>
          <w:b/>
          <w:bCs/>
        </w:rPr>
        <w:t xml:space="preserve"> smlouvy</w:t>
      </w:r>
    </w:p>
    <w:p w:rsidR="008B67A2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eastAsia="Arial,Times New Roman" w:hAnsi="Myriad Pro" w:cs="Arial"/>
          <w:b/>
          <w:bCs/>
        </w:rPr>
      </w:pPr>
    </w:p>
    <w:p w:rsidR="008B67A2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eastAsia="Arial,Times New Roman" w:hAnsi="Myriad Pro" w:cs="Arial"/>
          <w:b/>
          <w:bCs/>
        </w:rPr>
      </w:pPr>
    </w:p>
    <w:p w:rsidR="008B67A2" w:rsidRPr="005156AF" w:rsidRDefault="008B67A2" w:rsidP="008B67A2">
      <w:pPr>
        <w:pStyle w:val="Basic"/>
        <w:tabs>
          <w:tab w:val="left" w:pos="900"/>
        </w:tabs>
        <w:spacing w:before="120"/>
        <w:jc w:val="both"/>
        <w:rPr>
          <w:rFonts w:ascii="Myriad Pro" w:hAnsi="Myriad Pro" w:cs="Helvetica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992"/>
        <w:gridCol w:w="709"/>
        <w:gridCol w:w="1134"/>
        <w:gridCol w:w="992"/>
        <w:gridCol w:w="1276"/>
      </w:tblGrid>
      <w:tr w:rsidR="008B67A2" w:rsidRPr="005156AF" w:rsidTr="00992A82">
        <w:trPr>
          <w:trHeight w:val="541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 xml:space="preserve">Specifikace zařízení (výrobce a model)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5156AF">
              <w:rPr>
                <w:rFonts w:ascii="Myriad Pro" w:hAnsi="Myriad Pro"/>
                <w:color w:val="000000"/>
                <w:sz w:val="20"/>
                <w:szCs w:val="20"/>
              </w:rPr>
              <w:t>Cena s DPH</w:t>
            </w:r>
          </w:p>
        </w:tc>
      </w:tr>
      <w:tr w:rsidR="008B67A2" w:rsidRPr="005156AF" w:rsidTr="00992A82">
        <w:trPr>
          <w:trHeight w:val="2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>
              <w:rPr>
                <w:rFonts w:ascii="Myriad Pro" w:hAnsi="Myriad Pro"/>
                <w:color w:val="000000"/>
                <w:sz w:val="22"/>
                <w:szCs w:val="22"/>
              </w:rPr>
              <w:t>Diskové pole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</w:tr>
      <w:tr w:rsidR="008B67A2" w:rsidRPr="005156AF" w:rsidTr="00992A8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>
              <w:rPr>
                <w:rFonts w:ascii="Myriad Pro" w:hAnsi="Myriad Pro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  <w:tr w:rsidR="008B67A2" w:rsidRPr="005156AF" w:rsidTr="00992A8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</w:tr>
      <w:tr w:rsidR="008B67A2" w:rsidRPr="005156AF" w:rsidTr="00992A82">
        <w:trPr>
          <w:trHeight w:val="330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C</w:t>
            </w:r>
            <w:r w:rsidRPr="005156AF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 xml:space="preserve">ena </w:t>
            </w:r>
            <w:r w:rsidRPr="005156AF">
              <w:rPr>
                <w:rFonts w:ascii="Myriad Pro" w:hAnsi="Myriad Pro"/>
                <w:bCs/>
                <w:color w:val="000000"/>
                <w:sz w:val="20"/>
                <w:szCs w:val="20"/>
              </w:rPr>
              <w:t xml:space="preserve">(součet cen </w:t>
            </w:r>
            <w:r>
              <w:rPr>
                <w:rFonts w:ascii="Myriad Pro" w:hAnsi="Myriad Pro"/>
                <w:bCs/>
                <w:color w:val="000000"/>
                <w:sz w:val="20"/>
                <w:szCs w:val="20"/>
              </w:rPr>
              <w:t>za všechny položky</w:t>
            </w:r>
            <w:r w:rsidRPr="005156AF">
              <w:rPr>
                <w:rFonts w:ascii="Myriad Pro" w:hAnsi="Myriad Pro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7A2" w:rsidRPr="005156AF" w:rsidRDefault="008B67A2" w:rsidP="00992A82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5156AF">
              <w:rPr>
                <w:rFonts w:ascii="Myriad Pro" w:hAnsi="Myriad Pro"/>
                <w:color w:val="000000"/>
                <w:sz w:val="22"/>
                <w:szCs w:val="22"/>
              </w:rPr>
              <w:t> </w:t>
            </w:r>
          </w:p>
        </w:tc>
      </w:tr>
    </w:tbl>
    <w:p w:rsidR="008B67A2" w:rsidRPr="005156AF" w:rsidRDefault="008B67A2" w:rsidP="008B67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  <w:r>
        <w:rPr>
          <w:rFonts w:ascii="Myriad Pro" w:hAnsi="Myriad Pro" w:cs="Arial"/>
          <w:b/>
          <w:bCs/>
          <w:szCs w:val="20"/>
        </w:rPr>
        <w:t>Jednoznačný popis položky Diskové pole:</w:t>
      </w: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8B67A2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  <w:r>
        <w:rPr>
          <w:rFonts w:ascii="Myriad Pro" w:hAnsi="Myriad Pro" w:cs="Arial"/>
          <w:b/>
          <w:bCs/>
          <w:szCs w:val="20"/>
        </w:rPr>
        <w:t>Jednoznačný popis položky Software:</w:t>
      </w:r>
    </w:p>
    <w:p w:rsidR="008B67A2" w:rsidRPr="005156AF" w:rsidRDefault="008B67A2" w:rsidP="008B67A2">
      <w:pPr>
        <w:tabs>
          <w:tab w:val="left" w:pos="900"/>
        </w:tabs>
        <w:spacing w:before="120"/>
        <w:jc w:val="both"/>
        <w:rPr>
          <w:rFonts w:ascii="Myriad Pro" w:hAnsi="Myriad Pro" w:cs="Arial"/>
          <w:b/>
          <w:bCs/>
          <w:szCs w:val="20"/>
        </w:rPr>
      </w:pPr>
    </w:p>
    <w:p w:rsidR="004879A5" w:rsidRDefault="004879A5"/>
    <w:sectPr w:rsidR="004879A5" w:rsidSect="00992A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82" w:rsidRDefault="00992A82">
      <w:r>
        <w:separator/>
      </w:r>
    </w:p>
  </w:endnote>
  <w:endnote w:type="continuationSeparator" w:id="0">
    <w:p w:rsidR="00992A82" w:rsidRDefault="009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82" w:rsidRPr="00ED0EAD" w:rsidRDefault="00992A82" w:rsidP="00992A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82" w:rsidRDefault="00992A82">
      <w:r>
        <w:separator/>
      </w:r>
    </w:p>
  </w:footnote>
  <w:footnote w:type="continuationSeparator" w:id="0">
    <w:p w:rsidR="00992A82" w:rsidRDefault="0099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C44"/>
    <w:multiLevelType w:val="hybridMultilevel"/>
    <w:tmpl w:val="E6B41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2C2C"/>
    <w:multiLevelType w:val="multilevel"/>
    <w:tmpl w:val="58C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42862C9"/>
    <w:multiLevelType w:val="hybridMultilevel"/>
    <w:tmpl w:val="10E0C1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4B87735"/>
    <w:multiLevelType w:val="hybridMultilevel"/>
    <w:tmpl w:val="00262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2"/>
    <w:rsid w:val="000227B4"/>
    <w:rsid w:val="004879A5"/>
    <w:rsid w:val="005C18F3"/>
    <w:rsid w:val="008B67A2"/>
    <w:rsid w:val="00992A82"/>
    <w:rsid w:val="00E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49BE-B184-485A-AA48-B27220F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1"/>
    <w:uiPriority w:val="99"/>
    <w:qFormat/>
    <w:rsid w:val="008B67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uiPriority w:val="9"/>
    <w:semiHidden/>
    <w:rsid w:val="008B67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3Char1">
    <w:name w:val="Nadpis 3 Char1"/>
    <w:basedOn w:val="Standardnpsmoodstavce"/>
    <w:link w:val="Nadpis3"/>
    <w:uiPriority w:val="99"/>
    <w:rsid w:val="008B67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Basic">
    <w:name w:val="Basic"/>
    <w:basedOn w:val="Normln"/>
    <w:link w:val="BasicChar"/>
    <w:uiPriority w:val="99"/>
    <w:rsid w:val="008B67A2"/>
    <w:rPr>
      <w:rFonts w:ascii="Verdana" w:hAnsi="Verdana"/>
      <w:sz w:val="22"/>
    </w:rPr>
  </w:style>
  <w:style w:type="paragraph" w:customStyle="1" w:styleId="Kapitola1">
    <w:name w:val="Kapitola 1"/>
    <w:basedOn w:val="Normln"/>
    <w:next w:val="Normln"/>
    <w:uiPriority w:val="99"/>
    <w:rsid w:val="008B67A2"/>
    <w:pPr>
      <w:keepNext/>
      <w:spacing w:before="600" w:after="400"/>
      <w:ind w:left="510" w:hanging="510"/>
      <w:outlineLvl w:val="0"/>
    </w:pPr>
    <w:rPr>
      <w:rFonts w:ascii="Verdana" w:hAnsi="Verdana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8B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7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sicChar">
    <w:name w:val="Basic Char"/>
    <w:basedOn w:val="Standardnpsmoodstavce"/>
    <w:link w:val="Basic"/>
    <w:uiPriority w:val="99"/>
    <w:rsid w:val="008B67A2"/>
    <w:rPr>
      <w:rFonts w:ascii="Verdana" w:eastAsia="Times New Roman" w:hAnsi="Verdana" w:cs="Times New Roman"/>
      <w:szCs w:val="24"/>
      <w:lang w:eastAsia="cs-CZ"/>
    </w:rPr>
  </w:style>
  <w:style w:type="paragraph" w:customStyle="1" w:styleId="3odrky">
    <w:name w:val="3odrážky"/>
    <w:basedOn w:val="Normln"/>
    <w:uiPriority w:val="99"/>
    <w:rsid w:val="008B67A2"/>
    <w:pPr>
      <w:numPr>
        <w:numId w:val="1"/>
      </w:numPr>
      <w:spacing w:before="120" w:after="240"/>
      <w:contextualSpacing/>
      <w:jc w:val="both"/>
    </w:pPr>
    <w:rPr>
      <w:rFonts w:ascii="Calibri" w:eastAsiaTheme="minorHAnsi" w:hAnsi="Calibri"/>
      <w:color w:val="000000"/>
      <w:sz w:val="22"/>
      <w:szCs w:val="22"/>
      <w:lang w:eastAsia="en-US"/>
    </w:rPr>
  </w:style>
  <w:style w:type="table" w:customStyle="1" w:styleId="GridTable4-Accent11">
    <w:name w:val="Grid Table 4 - Accent 11"/>
    <w:basedOn w:val="Normlntabulka"/>
    <w:uiPriority w:val="49"/>
    <w:rsid w:val="008B67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8B67A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E6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C3C3-CEB8-411B-8FD0-4CDFF81D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2745</Words>
  <Characters>17025</Characters>
  <Application>Microsoft Office Word</Application>
  <DocSecurity>4</DocSecurity>
  <Lines>810</Lines>
  <Paragraphs>286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Václavíková</dc:creator>
  <cp:keywords/>
  <dc:description/>
  <cp:lastModifiedBy>Jaroslava Eislerová</cp:lastModifiedBy>
  <cp:revision>2</cp:revision>
  <dcterms:created xsi:type="dcterms:W3CDTF">2018-03-20T13:41:00Z</dcterms:created>
  <dcterms:modified xsi:type="dcterms:W3CDTF">2018-03-20T13:41:00Z</dcterms:modified>
</cp:coreProperties>
</file>